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2D" w:rsidRPr="00C15AB2" w:rsidRDefault="0041702D" w:rsidP="0041702D">
      <w:pPr>
        <w:rPr>
          <w:rFonts w:asciiTheme="majorHAnsi" w:hAnsiTheme="majorHAnsi"/>
          <w:b/>
          <w:sz w:val="20"/>
          <w:szCs w:val="20"/>
        </w:rPr>
      </w:pPr>
      <w:r w:rsidRPr="00C15AB2">
        <w:rPr>
          <w:rFonts w:asciiTheme="majorHAnsi" w:hAnsiTheme="majorHAnsi"/>
          <w:b/>
          <w:noProof/>
          <w:sz w:val="20"/>
          <w:szCs w:val="20"/>
          <w:lang w:eastAsia="fr-FR"/>
        </w:rPr>
        <w:drawing>
          <wp:inline distT="0" distB="0" distL="0" distR="0">
            <wp:extent cx="686190" cy="649581"/>
            <wp:effectExtent l="0" t="0" r="0" b="0"/>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normandie-portrait-cmj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8541" cy="699139"/>
                    </a:xfrm>
                    <a:prstGeom prst="rect">
                      <a:avLst/>
                    </a:prstGeom>
                  </pic:spPr>
                </pic:pic>
              </a:graphicData>
            </a:graphic>
          </wp:inline>
        </w:drawing>
      </w:r>
      <w:r w:rsidRPr="00C15AB2">
        <w:rPr>
          <w:rFonts w:asciiTheme="majorHAnsi" w:hAnsiTheme="majorHAnsi"/>
          <w:b/>
          <w:sz w:val="20"/>
          <w:szCs w:val="20"/>
        </w:rPr>
        <w:tab/>
      </w:r>
      <w:r w:rsidRPr="00C15AB2">
        <w:rPr>
          <w:rFonts w:asciiTheme="majorHAnsi" w:hAnsiTheme="majorHAnsi"/>
          <w:b/>
          <w:sz w:val="20"/>
          <w:szCs w:val="20"/>
        </w:rPr>
        <w:tab/>
      </w:r>
      <w:r w:rsidRPr="00C15AB2">
        <w:rPr>
          <w:rFonts w:asciiTheme="majorHAnsi" w:hAnsiTheme="majorHAnsi"/>
          <w:b/>
          <w:noProof/>
          <w:sz w:val="20"/>
          <w:szCs w:val="20"/>
          <w:lang w:eastAsia="fr-FR"/>
        </w:rPr>
        <w:drawing>
          <wp:inline distT="0" distB="0" distL="0" distR="0">
            <wp:extent cx="541068" cy="570650"/>
            <wp:effectExtent l="0" t="0" r="508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quad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650" cy="628216"/>
                    </a:xfrm>
                    <a:prstGeom prst="rect">
                      <a:avLst/>
                    </a:prstGeom>
                  </pic:spPr>
                </pic:pic>
              </a:graphicData>
            </a:graphic>
          </wp:inline>
        </w:drawing>
      </w:r>
      <w:r w:rsidRPr="00C15AB2">
        <w:rPr>
          <w:rFonts w:asciiTheme="majorHAnsi" w:hAnsiTheme="majorHAnsi"/>
          <w:b/>
          <w:sz w:val="20"/>
          <w:szCs w:val="20"/>
        </w:rPr>
        <w:tab/>
      </w:r>
      <w:r w:rsidRPr="00C15AB2">
        <w:rPr>
          <w:rFonts w:asciiTheme="majorHAnsi" w:hAnsiTheme="majorHAnsi"/>
          <w:b/>
          <w:sz w:val="20"/>
          <w:szCs w:val="20"/>
        </w:rPr>
        <w:tab/>
      </w:r>
      <w:r w:rsidRPr="00C15AB2">
        <w:rPr>
          <w:rFonts w:asciiTheme="majorHAnsi" w:hAnsiTheme="majorHAnsi"/>
          <w:b/>
          <w:noProof/>
          <w:sz w:val="20"/>
          <w:szCs w:val="20"/>
          <w:lang w:eastAsia="fr-FR"/>
        </w:rPr>
        <w:drawing>
          <wp:inline distT="0" distB="0" distL="0" distR="0">
            <wp:extent cx="648730" cy="64873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2554" cy="672554"/>
                    </a:xfrm>
                    <a:prstGeom prst="rect">
                      <a:avLst/>
                    </a:prstGeom>
                  </pic:spPr>
                </pic:pic>
              </a:graphicData>
            </a:graphic>
          </wp:inline>
        </w:drawing>
      </w:r>
      <w:r w:rsidRPr="00C15AB2">
        <w:rPr>
          <w:rFonts w:asciiTheme="majorHAnsi" w:hAnsiTheme="majorHAnsi"/>
          <w:b/>
          <w:sz w:val="20"/>
          <w:szCs w:val="20"/>
        </w:rPr>
        <w:tab/>
      </w:r>
      <w:r w:rsidRPr="00C15AB2">
        <w:rPr>
          <w:rFonts w:asciiTheme="majorHAnsi" w:hAnsiTheme="majorHAnsi"/>
          <w:b/>
          <w:sz w:val="20"/>
          <w:szCs w:val="20"/>
        </w:rPr>
        <w:tab/>
      </w:r>
      <w:r w:rsidRPr="00C15AB2">
        <w:rPr>
          <w:rFonts w:asciiTheme="majorHAnsi" w:hAnsiTheme="majorHAnsi"/>
          <w:b/>
          <w:noProof/>
          <w:sz w:val="20"/>
          <w:szCs w:val="20"/>
          <w:lang w:eastAsia="fr-FR"/>
        </w:rPr>
        <w:drawing>
          <wp:inline distT="0" distB="0" distL="0" distR="0">
            <wp:extent cx="614916" cy="606225"/>
            <wp:effectExtent l="0" t="0" r="0" b="3810"/>
            <wp:docPr id="10" name="Image 10"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Logo UE FEDER couleur.pd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4082" cy="644838"/>
                    </a:xfrm>
                    <a:prstGeom prst="rect">
                      <a:avLst/>
                    </a:prstGeom>
                  </pic:spPr>
                </pic:pic>
              </a:graphicData>
            </a:graphic>
          </wp:inline>
        </w:drawing>
      </w:r>
      <w:r w:rsidRPr="00C15AB2">
        <w:rPr>
          <w:rFonts w:asciiTheme="majorHAnsi" w:hAnsiTheme="majorHAnsi"/>
          <w:b/>
          <w:sz w:val="20"/>
          <w:szCs w:val="20"/>
        </w:rPr>
        <w:tab/>
      </w:r>
      <w:r w:rsidRPr="00C15AB2">
        <w:rPr>
          <w:rFonts w:asciiTheme="majorHAnsi" w:hAnsiTheme="majorHAnsi"/>
          <w:b/>
          <w:sz w:val="20"/>
          <w:szCs w:val="20"/>
        </w:rPr>
        <w:tab/>
      </w:r>
    </w:p>
    <w:p w:rsidR="00C15AB2" w:rsidRDefault="00C15AB2" w:rsidP="0041702D">
      <w:pPr>
        <w:rPr>
          <w:rFonts w:asciiTheme="majorHAnsi" w:hAnsiTheme="majorHAnsi"/>
          <w:b/>
          <w:sz w:val="20"/>
          <w:szCs w:val="20"/>
          <w:u w:val="single"/>
        </w:rPr>
      </w:pPr>
      <w:r w:rsidRPr="00C15AB2">
        <w:rPr>
          <w:rFonts w:asciiTheme="majorHAnsi" w:hAnsiTheme="majorHAnsi"/>
          <w:b/>
          <w:noProof/>
          <w:sz w:val="20"/>
          <w:szCs w:val="20"/>
          <w:u w:val="single"/>
        </w:rPr>
        <mc:AlternateContent>
          <mc:Choice Requires="wps">
            <w:drawing>
              <wp:anchor distT="45720" distB="45720" distL="114300" distR="114300" simplePos="0" relativeHeight="251661312" behindDoc="0" locked="0" layoutInCell="1" allowOverlap="1" wp14:anchorId="2E7408D5" wp14:editId="3483A966">
                <wp:simplePos x="0" y="0"/>
                <wp:positionH relativeFrom="column">
                  <wp:posOffset>62230</wp:posOffset>
                </wp:positionH>
                <wp:positionV relativeFrom="paragraph">
                  <wp:posOffset>358140</wp:posOffset>
                </wp:positionV>
                <wp:extent cx="5772150" cy="1404620"/>
                <wp:effectExtent l="0" t="0" r="1905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rsidR="00C15AB2" w:rsidRPr="00C15AB2" w:rsidRDefault="00C15AB2" w:rsidP="00C15AB2">
                            <w:pPr>
                              <w:spacing w:before="120" w:after="120" w:line="240" w:lineRule="auto"/>
                              <w:jc w:val="center"/>
                              <w:rPr>
                                <w:sz w:val="52"/>
                                <w:szCs w:val="52"/>
                              </w:rPr>
                            </w:pPr>
                            <w:r w:rsidRPr="00C15AB2">
                              <w:rPr>
                                <w:sz w:val="52"/>
                                <w:szCs w:val="52"/>
                              </w:rPr>
                              <w:t>COMMUNIQUÉ DE PRESSE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7408D5" id="_x0000_t202" coordsize="21600,21600" o:spt="202" path="m,l,21600r21600,l21600,xe">
                <v:stroke joinstyle="miter"/>
                <v:path gradientshapeok="t" o:connecttype="rect"/>
              </v:shapetype>
              <v:shape id="Zone de texte 2" o:spid="_x0000_s1026" type="#_x0000_t202" style="position:absolute;margin-left:4.9pt;margin-top:28.2pt;width:45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">
                <v:textbox style="mso-fit-shape-to-text:t">
                  <w:txbxContent>
                    <w:p w:rsidR="00C15AB2" w:rsidRPr="00C15AB2" w:rsidRDefault="00C15AB2" w:rsidP="00C15AB2">
                      <w:pPr>
                        <w:spacing w:before="120" w:after="120" w:line="240" w:lineRule="auto"/>
                        <w:jc w:val="center"/>
                        <w:rPr>
                          <w:sz w:val="52"/>
                          <w:szCs w:val="52"/>
                        </w:rPr>
                      </w:pPr>
                      <w:r w:rsidRPr="00C15AB2">
                        <w:rPr>
                          <w:sz w:val="52"/>
                          <w:szCs w:val="52"/>
                        </w:rPr>
                        <w:t>COMMUNIQUÉ DE PRESSE</w:t>
                      </w:r>
                    </w:p>
                  </w:txbxContent>
                </v:textbox>
                <w10:wrap type="square"/>
              </v:shape>
            </w:pict>
          </mc:Fallback>
        </mc:AlternateContent>
      </w:r>
    </w:p>
    <w:p w:rsidR="00BD1D05" w:rsidRDefault="00BD1D05" w:rsidP="003A5707">
      <w:pPr>
        <w:jc w:val="center"/>
        <w:rPr>
          <w:rFonts w:asciiTheme="majorHAnsi" w:hAnsiTheme="majorHAnsi"/>
          <w:b/>
          <w:sz w:val="20"/>
          <w:szCs w:val="20"/>
          <w:u w:val="single"/>
        </w:rPr>
      </w:pPr>
    </w:p>
    <w:p w:rsidR="003A5707" w:rsidRDefault="003A5707" w:rsidP="003A5707">
      <w:pPr>
        <w:rPr>
          <w:rFonts w:asciiTheme="majorHAnsi" w:hAnsiTheme="majorHAnsi"/>
          <w:noProof/>
          <w:sz w:val="20"/>
          <w:szCs w:val="20"/>
          <w:lang w:eastAsia="fr-FR"/>
        </w:rPr>
      </w:pPr>
      <w:r>
        <w:rPr>
          <w:rFonts w:asciiTheme="majorHAnsi" w:hAnsiTheme="majorHAnsi"/>
          <w:noProof/>
          <w:sz w:val="20"/>
          <w:szCs w:val="20"/>
          <w:lang w:eastAsia="fr-FR"/>
        </w:rPr>
        <w:drawing>
          <wp:inline distT="0" distB="0" distL="0" distR="0" wp14:anchorId="55F3234B" wp14:editId="6B9DCF95">
            <wp:extent cx="5924550" cy="2275654"/>
            <wp:effectExtent l="0" t="0" r="0" b="0"/>
            <wp:docPr id="80" name="Image 80" descr="N:\Opérations Actives\H-NDIE\Sainte Adresse\photos\DSC_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Opérations Actives\H-NDIE\Sainte Adresse\photos\DSC_004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59" b="19706"/>
                    <a:stretch/>
                  </pic:blipFill>
                  <pic:spPr bwMode="auto">
                    <a:xfrm>
                      <a:off x="0" y="0"/>
                      <a:ext cx="5957711" cy="2288392"/>
                    </a:xfrm>
                    <a:prstGeom prst="rect">
                      <a:avLst/>
                    </a:prstGeom>
                    <a:noFill/>
                    <a:ln>
                      <a:noFill/>
                    </a:ln>
                    <a:extLst>
                      <a:ext uri="{53640926-AAD7-44D8-BBD7-CCE9431645EC}">
                        <a14:shadowObscured xmlns:a14="http://schemas.microsoft.com/office/drawing/2010/main"/>
                      </a:ext>
                    </a:extLst>
                  </pic:spPr>
                </pic:pic>
              </a:graphicData>
            </a:graphic>
          </wp:inline>
        </w:drawing>
      </w:r>
    </w:p>
    <w:p w:rsidR="005855AE" w:rsidRPr="00116C42" w:rsidRDefault="003A5707" w:rsidP="00C15AB2">
      <w:pPr>
        <w:jc w:val="right"/>
        <w:rPr>
          <w:rFonts w:asciiTheme="majorHAnsi" w:hAnsiTheme="majorHAnsi"/>
          <w:sz w:val="20"/>
          <w:szCs w:val="20"/>
        </w:rPr>
      </w:pPr>
      <w:r>
        <w:rPr>
          <w:rFonts w:asciiTheme="majorHAnsi" w:hAnsiTheme="majorHAnsi"/>
          <w:noProof/>
          <w:sz w:val="20"/>
          <w:szCs w:val="20"/>
          <w:lang w:eastAsia="fr-FR"/>
        </w:rPr>
        <w:drawing>
          <wp:inline distT="0" distB="0" distL="0" distR="0" wp14:anchorId="23CBE01D" wp14:editId="5F6175D3">
            <wp:extent cx="5897444" cy="2724150"/>
            <wp:effectExtent l="0" t="0" r="8255" b="0"/>
            <wp:docPr id="81" name="Image 81" descr="N:\Opérations Actives\H-NDIE\Sainte Adresse\photos\DSC_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Opérations Actives\H-NDIE\Sainte Adresse\photos\DSC_005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823" b="9117"/>
                    <a:stretch/>
                  </pic:blipFill>
                  <pic:spPr bwMode="auto">
                    <a:xfrm>
                      <a:off x="0" y="0"/>
                      <a:ext cx="5929532" cy="2738972"/>
                    </a:xfrm>
                    <a:prstGeom prst="rect">
                      <a:avLst/>
                    </a:prstGeom>
                    <a:noFill/>
                    <a:ln>
                      <a:noFill/>
                    </a:ln>
                    <a:extLst>
                      <a:ext uri="{53640926-AAD7-44D8-BBD7-CCE9431645EC}">
                        <a14:shadowObscured xmlns:a14="http://schemas.microsoft.com/office/drawing/2010/main"/>
                      </a:ext>
                    </a:extLst>
                  </pic:spPr>
                </pic:pic>
              </a:graphicData>
            </a:graphic>
          </wp:inline>
        </w:drawing>
      </w:r>
    </w:p>
    <w:p w:rsidR="001C5D8D" w:rsidRPr="0041702D" w:rsidRDefault="001C5D8D" w:rsidP="0041702D">
      <w:pPr>
        <w:spacing w:line="240" w:lineRule="auto"/>
        <w:jc w:val="center"/>
        <w:rPr>
          <w:rFonts w:cstheme="minorHAnsi"/>
          <w:b/>
          <w:sz w:val="20"/>
          <w:szCs w:val="20"/>
          <w:u w:val="single"/>
        </w:rPr>
      </w:pPr>
    </w:p>
    <w:p w:rsidR="0041702D" w:rsidRPr="0041702D" w:rsidRDefault="0041702D" w:rsidP="0041702D">
      <w:pPr>
        <w:spacing w:line="240" w:lineRule="auto"/>
        <w:jc w:val="center"/>
        <w:rPr>
          <w:rFonts w:cstheme="minorHAnsi"/>
          <w:b/>
          <w:bCs/>
          <w:sz w:val="24"/>
          <w:szCs w:val="24"/>
        </w:rPr>
      </w:pPr>
      <w:r w:rsidRPr="0041702D">
        <w:rPr>
          <w:rFonts w:cstheme="minorHAnsi"/>
          <w:b/>
          <w:bCs/>
          <w:sz w:val="24"/>
          <w:szCs w:val="24"/>
        </w:rPr>
        <w:t>L’ancienne Ecole nationale supérieure de la marine marchande</w:t>
      </w:r>
      <w:r>
        <w:rPr>
          <w:rFonts w:cstheme="minorHAnsi"/>
          <w:b/>
          <w:bCs/>
          <w:sz w:val="24"/>
          <w:szCs w:val="24"/>
        </w:rPr>
        <w:t xml:space="preserve"> de Sainte-Adresse</w:t>
      </w:r>
      <w:r w:rsidRPr="0041702D">
        <w:rPr>
          <w:rFonts w:cstheme="minorHAnsi"/>
          <w:b/>
          <w:bCs/>
          <w:sz w:val="24"/>
          <w:szCs w:val="24"/>
        </w:rPr>
        <w:br/>
        <w:t>et ses peintures « gout</w:t>
      </w:r>
      <w:r w:rsidR="00665A0D">
        <w:rPr>
          <w:rFonts w:cstheme="minorHAnsi"/>
          <w:b/>
          <w:bCs/>
          <w:sz w:val="24"/>
          <w:szCs w:val="24"/>
        </w:rPr>
        <w:t>t</w:t>
      </w:r>
      <w:r w:rsidRPr="0041702D">
        <w:rPr>
          <w:rFonts w:cstheme="minorHAnsi"/>
          <w:b/>
          <w:bCs/>
          <w:sz w:val="24"/>
          <w:szCs w:val="24"/>
        </w:rPr>
        <w:t>elettes »</w:t>
      </w:r>
    </w:p>
    <w:p w:rsidR="0041702D" w:rsidRPr="00F94592" w:rsidRDefault="0041702D" w:rsidP="0041702D">
      <w:pPr>
        <w:spacing w:line="240" w:lineRule="auto"/>
        <w:jc w:val="center"/>
        <w:rPr>
          <w:rFonts w:cstheme="minorHAnsi"/>
          <w:b/>
          <w:bCs/>
          <w:sz w:val="48"/>
          <w:szCs w:val="48"/>
        </w:rPr>
      </w:pPr>
      <w:r w:rsidRPr="00F94592">
        <w:rPr>
          <w:rFonts w:cstheme="minorHAnsi"/>
          <w:b/>
          <w:bCs/>
          <w:sz w:val="48"/>
          <w:szCs w:val="48"/>
        </w:rPr>
        <w:t xml:space="preserve">Désamiantage : comment un savoir-faire </w:t>
      </w:r>
      <w:r w:rsidRPr="00F94592">
        <w:rPr>
          <w:rFonts w:cstheme="minorHAnsi"/>
          <w:b/>
          <w:bCs/>
          <w:sz w:val="48"/>
          <w:szCs w:val="48"/>
        </w:rPr>
        <w:br/>
        <w:t>se transforme en expertise</w:t>
      </w:r>
    </w:p>
    <w:p w:rsidR="0041702D" w:rsidRPr="0041702D" w:rsidRDefault="0041702D" w:rsidP="0041702D">
      <w:pPr>
        <w:spacing w:line="240" w:lineRule="auto"/>
        <w:jc w:val="center"/>
        <w:rPr>
          <w:rFonts w:cstheme="minorHAnsi"/>
          <w:i/>
          <w:iCs/>
          <w:sz w:val="24"/>
          <w:szCs w:val="24"/>
        </w:rPr>
      </w:pPr>
      <w:r w:rsidRPr="0041702D">
        <w:rPr>
          <w:rFonts w:cstheme="minorHAnsi"/>
          <w:i/>
          <w:iCs/>
          <w:sz w:val="24"/>
          <w:szCs w:val="24"/>
        </w:rPr>
        <w:lastRenderedPageBreak/>
        <w:t>Les cinq chantiers-pilotes de désamiantage initiés</w:t>
      </w:r>
      <w:r>
        <w:rPr>
          <w:rFonts w:cstheme="minorHAnsi"/>
          <w:i/>
          <w:iCs/>
          <w:sz w:val="24"/>
          <w:szCs w:val="24"/>
        </w:rPr>
        <w:br/>
      </w:r>
      <w:r w:rsidRPr="0041702D">
        <w:rPr>
          <w:rFonts w:cstheme="minorHAnsi"/>
          <w:i/>
          <w:iCs/>
          <w:sz w:val="24"/>
          <w:szCs w:val="24"/>
        </w:rPr>
        <w:t>par l’EPF Normandie pour traiter les vieilles peintures de l’ENSM recèlent</w:t>
      </w:r>
      <w:r>
        <w:rPr>
          <w:rFonts w:cstheme="minorHAnsi"/>
          <w:i/>
          <w:iCs/>
          <w:sz w:val="24"/>
          <w:szCs w:val="24"/>
        </w:rPr>
        <w:br/>
      </w:r>
      <w:r w:rsidRPr="0041702D">
        <w:rPr>
          <w:rFonts w:cstheme="minorHAnsi"/>
          <w:i/>
          <w:iCs/>
          <w:sz w:val="24"/>
          <w:szCs w:val="24"/>
        </w:rPr>
        <w:t>des enjeux économiques et sanitaires majeurs. Derrière leur apparence technique,</w:t>
      </w:r>
      <w:r>
        <w:rPr>
          <w:rFonts w:cstheme="minorHAnsi"/>
          <w:i/>
          <w:iCs/>
          <w:sz w:val="24"/>
          <w:szCs w:val="24"/>
        </w:rPr>
        <w:br/>
      </w:r>
      <w:r w:rsidRPr="0041702D">
        <w:rPr>
          <w:rFonts w:cstheme="minorHAnsi"/>
          <w:i/>
          <w:iCs/>
          <w:sz w:val="24"/>
          <w:szCs w:val="24"/>
        </w:rPr>
        <w:t>ces chantiers</w:t>
      </w:r>
      <w:r>
        <w:rPr>
          <w:rFonts w:cstheme="minorHAnsi"/>
          <w:i/>
          <w:iCs/>
          <w:sz w:val="24"/>
          <w:szCs w:val="24"/>
        </w:rPr>
        <w:t xml:space="preserve"> </w:t>
      </w:r>
      <w:r w:rsidRPr="0041702D">
        <w:rPr>
          <w:rFonts w:cstheme="minorHAnsi"/>
          <w:i/>
          <w:iCs/>
          <w:sz w:val="24"/>
          <w:szCs w:val="24"/>
        </w:rPr>
        <w:t>vont donner naissance à une expertise renforcée dans le traitement</w:t>
      </w:r>
      <w:r>
        <w:rPr>
          <w:rFonts w:cstheme="minorHAnsi"/>
          <w:i/>
          <w:iCs/>
          <w:sz w:val="24"/>
          <w:szCs w:val="24"/>
        </w:rPr>
        <w:br/>
      </w:r>
      <w:r w:rsidRPr="0041702D">
        <w:rPr>
          <w:rFonts w:cstheme="minorHAnsi"/>
          <w:i/>
          <w:iCs/>
          <w:sz w:val="24"/>
          <w:szCs w:val="24"/>
        </w:rPr>
        <w:t>d’un produit dangereux</w:t>
      </w:r>
      <w:r>
        <w:rPr>
          <w:rFonts w:cstheme="minorHAnsi"/>
          <w:i/>
          <w:iCs/>
          <w:sz w:val="24"/>
          <w:szCs w:val="24"/>
        </w:rPr>
        <w:t>, l’amiante...</w:t>
      </w:r>
    </w:p>
    <w:p w:rsidR="0041702D" w:rsidRPr="0041702D" w:rsidRDefault="0041702D" w:rsidP="0041702D">
      <w:pPr>
        <w:spacing w:line="240" w:lineRule="auto"/>
        <w:jc w:val="center"/>
        <w:rPr>
          <w:rFonts w:cstheme="minorHAnsi"/>
          <w:b/>
          <w:bCs/>
          <w:sz w:val="20"/>
          <w:szCs w:val="20"/>
        </w:rPr>
      </w:pPr>
    </w:p>
    <w:p w:rsidR="0041702D" w:rsidRPr="00F94592" w:rsidRDefault="0041702D" w:rsidP="00D33B4D">
      <w:pPr>
        <w:spacing w:line="276" w:lineRule="auto"/>
        <w:jc w:val="both"/>
        <w:rPr>
          <w:rFonts w:cstheme="minorHAnsi"/>
          <w:sz w:val="20"/>
          <w:szCs w:val="20"/>
        </w:rPr>
      </w:pPr>
      <w:r w:rsidRPr="00F94592">
        <w:rPr>
          <w:rFonts w:cstheme="minorHAnsi"/>
          <w:sz w:val="20"/>
          <w:szCs w:val="20"/>
        </w:rPr>
        <w:t>3 à 4 millions d’euros d’un côté, 100 000 € de l’autre. Le premier prix c’est celui, estimatif, du désamiantage des peintures du site de l’ENSM. Le deuxième, c’est le prix des cinq chantiers-pilotes initiés par l’EPF. Avec l’espoir, au bout de l’expérience, de faire baisser le premier prix grâce au second… Au-delà, l’investissement consenti dans ces chantier-pilotes v</w:t>
      </w:r>
      <w:r w:rsidR="00BD6AF6" w:rsidRPr="00F94592">
        <w:rPr>
          <w:rFonts w:cstheme="minorHAnsi"/>
          <w:sz w:val="20"/>
          <w:szCs w:val="20"/>
        </w:rPr>
        <w:t>a</w:t>
      </w:r>
      <w:r w:rsidRPr="00F94592">
        <w:rPr>
          <w:rFonts w:cstheme="minorHAnsi"/>
          <w:sz w:val="20"/>
          <w:szCs w:val="20"/>
        </w:rPr>
        <w:t xml:space="preserve"> permettre à l’EPF et aux entreprises régionales d’acquérir une expertise renforcée en matière de désamiantage. Et cette expertise sera précieuse tant la Normandie regorge de sites amiantés dans les nombreuses friches industrielles du territoire.</w:t>
      </w:r>
    </w:p>
    <w:p w:rsidR="00BD6AF6" w:rsidRPr="00F94592" w:rsidRDefault="00BD6AF6" w:rsidP="00D33B4D">
      <w:pPr>
        <w:spacing w:line="276" w:lineRule="auto"/>
        <w:jc w:val="both"/>
        <w:rPr>
          <w:rFonts w:cstheme="minorHAnsi"/>
          <w:sz w:val="20"/>
          <w:szCs w:val="20"/>
        </w:rPr>
      </w:pPr>
      <w:r w:rsidRPr="00F94592">
        <w:rPr>
          <w:rFonts w:cstheme="minorHAnsi"/>
          <w:sz w:val="20"/>
          <w:szCs w:val="20"/>
        </w:rPr>
        <w:t>S’agit-il seulement d’économie(s) ? Non. L’enjeu concerne aussi la sécurité des personnels, la pénibilité des chantiers et la production de déchets. Dans les critères qui seront retenus en juin prochain à l’issue des cinq chantiers-pilotes, ces trois dimensions du désamiantage seront prises également en compte. Au-delà de la technicité de la démarche, ces chantiers contribueront aussi à sensibiliser aux risques liés à la suppression des peintures dites « gout</w:t>
      </w:r>
      <w:r w:rsidR="00665A0D">
        <w:rPr>
          <w:rFonts w:cstheme="minorHAnsi"/>
          <w:sz w:val="20"/>
          <w:szCs w:val="20"/>
        </w:rPr>
        <w:t>t</w:t>
      </w:r>
      <w:r w:rsidRPr="00F94592">
        <w:rPr>
          <w:rFonts w:cstheme="minorHAnsi"/>
          <w:sz w:val="20"/>
          <w:szCs w:val="20"/>
        </w:rPr>
        <w:t>elettes ». Ces peintures, très en vogue dans les années 60 et 70, et qui présentent un aspect en relief, sont d’autant plus dangereuses que leur dosage en amiante varie considérablement. Comme l’amiante ajoutée dans la peinture n’avait pas de fonction particulière en dehors d’un aspect esthétique</w:t>
      </w:r>
      <w:r w:rsidR="00665A0D">
        <w:rPr>
          <w:rFonts w:cstheme="minorHAnsi"/>
          <w:sz w:val="20"/>
          <w:szCs w:val="20"/>
        </w:rPr>
        <w:t xml:space="preserve"> et plastique</w:t>
      </w:r>
      <w:r w:rsidRPr="00F94592">
        <w:rPr>
          <w:rFonts w:cstheme="minorHAnsi"/>
          <w:sz w:val="20"/>
          <w:szCs w:val="20"/>
        </w:rPr>
        <w:t xml:space="preserve">, les dosages dépendaient de l’entreprise </w:t>
      </w:r>
      <w:r w:rsidR="00665A0D">
        <w:rPr>
          <w:rFonts w:cstheme="minorHAnsi"/>
          <w:sz w:val="20"/>
          <w:szCs w:val="20"/>
        </w:rPr>
        <w:t xml:space="preserve">ou même de l’artisan </w:t>
      </w:r>
      <w:r w:rsidRPr="00F94592">
        <w:rPr>
          <w:rFonts w:cstheme="minorHAnsi"/>
          <w:sz w:val="20"/>
          <w:szCs w:val="20"/>
        </w:rPr>
        <w:t>qui les mettaient en œuvre. La beauté n’avait donc peut-être pas de prix, mais elle allait avoir un coût pour les générations actuelles et futures…</w:t>
      </w:r>
    </w:p>
    <w:p w:rsidR="00BD6AF6" w:rsidRDefault="00BD6AF6" w:rsidP="00D33B4D">
      <w:pPr>
        <w:spacing w:line="276" w:lineRule="auto"/>
        <w:jc w:val="both"/>
        <w:rPr>
          <w:rFonts w:cstheme="minorHAnsi"/>
          <w:sz w:val="20"/>
          <w:szCs w:val="20"/>
        </w:rPr>
      </w:pPr>
      <w:r w:rsidRPr="00F94592">
        <w:rPr>
          <w:rFonts w:cstheme="minorHAnsi"/>
          <w:sz w:val="20"/>
          <w:szCs w:val="20"/>
        </w:rPr>
        <w:t xml:space="preserve">Lorsque l’EPF – à la demande et pour le compte de la mairie de Sainte-Adresse – a acquis l’ensemble des six bâtiments de l’ENSM </w:t>
      </w:r>
      <w:r w:rsidR="00665A0D">
        <w:rPr>
          <w:rFonts w:cstheme="minorHAnsi"/>
          <w:sz w:val="20"/>
          <w:szCs w:val="20"/>
        </w:rPr>
        <w:t>fin 2018</w:t>
      </w:r>
      <w:r w:rsidR="00F94592" w:rsidRPr="00F94592">
        <w:rPr>
          <w:rFonts w:cstheme="minorHAnsi"/>
          <w:sz w:val="20"/>
          <w:szCs w:val="20"/>
        </w:rPr>
        <w:t xml:space="preserve"> (1)</w:t>
      </w:r>
      <w:r w:rsidRPr="00F94592">
        <w:rPr>
          <w:rFonts w:cstheme="minorHAnsi"/>
          <w:sz w:val="20"/>
          <w:szCs w:val="20"/>
        </w:rPr>
        <w:t xml:space="preserve">, l’idée d’organiser ces chantiers-pilotes s’est rapidement imposée comme une opportunité à saisir. En effet, cinq des six bâtiments sont destinés à la démolition pour laisser la place à un projet </w:t>
      </w:r>
      <w:r w:rsidR="005D08A1">
        <w:rPr>
          <w:rFonts w:cstheme="minorHAnsi"/>
          <w:sz w:val="20"/>
          <w:szCs w:val="20"/>
        </w:rPr>
        <w:t>sur les 3,5 ha du site</w:t>
      </w:r>
      <w:r w:rsidRPr="00F94592">
        <w:rPr>
          <w:rFonts w:cstheme="minorHAnsi"/>
          <w:sz w:val="20"/>
          <w:szCs w:val="20"/>
        </w:rPr>
        <w:t>. En revanche, le sixième bâtiment, qui présente une valeur patrimoniale intéressante sera préservé. Sa silhouette marque le paysage, comme une vigie, au-dessus de l’estuaire de la Seine. Le plateau où a été construit l’ancienne école de la marine marchande est proche du Cap de la Hève, site naturel classé, qui fait l’objet d’une étude de valorisation touristique et paysagère (</w:t>
      </w:r>
      <w:r w:rsidR="00F94592" w:rsidRPr="00F94592">
        <w:rPr>
          <w:rFonts w:cstheme="minorHAnsi"/>
          <w:sz w:val="20"/>
          <w:szCs w:val="20"/>
        </w:rPr>
        <w:t>2</w:t>
      </w:r>
      <w:r w:rsidRPr="00F94592">
        <w:rPr>
          <w:rFonts w:cstheme="minorHAnsi"/>
          <w:sz w:val="20"/>
          <w:szCs w:val="20"/>
        </w:rPr>
        <w:t xml:space="preserve">). Ce site de transition entre les espaces naturels et la partie urbanisée de la ville constitue un enjeu majeur d’aménagement pour Sainte-Adresse. Non seulement, le site </w:t>
      </w:r>
      <w:r w:rsidR="005D08A1">
        <w:rPr>
          <w:rFonts w:cstheme="minorHAnsi"/>
          <w:sz w:val="20"/>
          <w:szCs w:val="20"/>
        </w:rPr>
        <w:t xml:space="preserve">- </w:t>
      </w:r>
      <w:r w:rsidRPr="00F94592">
        <w:rPr>
          <w:rFonts w:cstheme="minorHAnsi"/>
          <w:sz w:val="20"/>
          <w:szCs w:val="20"/>
        </w:rPr>
        <w:t>se prête particulièrement à la création de logements mais il constitue un des rares espaces fonciers d’importance disponible sur la commune.</w:t>
      </w:r>
    </w:p>
    <w:p w:rsidR="00F94592" w:rsidRDefault="005D08A1" w:rsidP="00D33B4D">
      <w:pPr>
        <w:spacing w:line="276" w:lineRule="auto"/>
        <w:jc w:val="both"/>
        <w:rPr>
          <w:rFonts w:cstheme="minorHAnsi"/>
          <w:sz w:val="20"/>
          <w:szCs w:val="20"/>
        </w:rPr>
      </w:pPr>
      <w:r>
        <w:rPr>
          <w:rFonts w:cstheme="minorHAnsi"/>
          <w:sz w:val="20"/>
          <w:szCs w:val="20"/>
        </w:rPr>
        <w:t xml:space="preserve">Avant de procéder à la démolition des cinq bâtiments qui abritaient essentiellement des salles de classe et des dortoirs, l’EPF Normandie a proposé de tester des techniques de désamiantage afin de déterminer celle - ou celles - </w:t>
      </w:r>
      <w:r w:rsidR="00665A0D">
        <w:rPr>
          <w:rFonts w:cstheme="minorHAnsi"/>
          <w:sz w:val="20"/>
          <w:szCs w:val="20"/>
        </w:rPr>
        <w:t>à</w:t>
      </w:r>
      <w:r>
        <w:rPr>
          <w:rFonts w:cstheme="minorHAnsi"/>
          <w:sz w:val="20"/>
          <w:szCs w:val="20"/>
        </w:rPr>
        <w:t xml:space="preserve"> appliqu</w:t>
      </w:r>
      <w:r w:rsidR="00665A0D">
        <w:rPr>
          <w:rFonts w:cstheme="minorHAnsi"/>
          <w:sz w:val="20"/>
          <w:szCs w:val="20"/>
        </w:rPr>
        <w:t>er</w:t>
      </w:r>
      <w:r>
        <w:rPr>
          <w:rFonts w:cstheme="minorHAnsi"/>
          <w:sz w:val="20"/>
          <w:szCs w:val="20"/>
        </w:rPr>
        <w:t xml:space="preserve"> sur la totalité des peintures du bâtiment à préserver. C’est ainsi qu’une démarche en deux phases a été définie, avec les partenaires co-financeurs, pour permettre aux entreprises de disposer de sites en situation réelle d’intervention pour mener une véritable expérience de recherche-développement sur des </w:t>
      </w:r>
      <w:r w:rsidRPr="005D08A1">
        <w:rPr>
          <w:rFonts w:cstheme="minorHAnsi"/>
          <w:sz w:val="20"/>
          <w:szCs w:val="20"/>
        </w:rPr>
        <w:t>techniques, éprouvées pour certaines, innovantes pour d’autres.</w:t>
      </w:r>
      <w:r>
        <w:rPr>
          <w:rFonts w:cstheme="minorHAnsi"/>
          <w:sz w:val="20"/>
          <w:szCs w:val="20"/>
        </w:rPr>
        <w:t xml:space="preserve"> La deuxième phase, celle de la démolition des cinq bâtiments, interviendra après. </w:t>
      </w:r>
      <w:r w:rsidR="008E55DF" w:rsidRPr="005D08A1">
        <w:rPr>
          <w:rFonts w:cstheme="minorHAnsi"/>
          <w:sz w:val="20"/>
          <w:szCs w:val="20"/>
        </w:rPr>
        <w:t>L</w:t>
      </w:r>
      <w:r>
        <w:rPr>
          <w:rFonts w:cstheme="minorHAnsi"/>
          <w:sz w:val="20"/>
          <w:szCs w:val="20"/>
        </w:rPr>
        <w:t>e</w:t>
      </w:r>
      <w:r w:rsidR="008E55DF" w:rsidRPr="005D08A1">
        <w:rPr>
          <w:rFonts w:cstheme="minorHAnsi"/>
          <w:sz w:val="20"/>
          <w:szCs w:val="20"/>
        </w:rPr>
        <w:t xml:space="preserve">s travaux </w:t>
      </w:r>
      <w:r>
        <w:rPr>
          <w:rFonts w:cstheme="minorHAnsi"/>
          <w:sz w:val="20"/>
          <w:szCs w:val="20"/>
        </w:rPr>
        <w:t xml:space="preserve">des chantiers-pilotes </w:t>
      </w:r>
      <w:r w:rsidR="0023362C" w:rsidRPr="005D08A1">
        <w:rPr>
          <w:rFonts w:cstheme="minorHAnsi"/>
          <w:sz w:val="20"/>
          <w:szCs w:val="20"/>
        </w:rPr>
        <w:t>ont démarré</w:t>
      </w:r>
      <w:r>
        <w:rPr>
          <w:rFonts w:cstheme="minorHAnsi"/>
          <w:sz w:val="20"/>
          <w:szCs w:val="20"/>
        </w:rPr>
        <w:t>,</w:t>
      </w:r>
      <w:r w:rsidR="008E55DF" w:rsidRPr="005D08A1">
        <w:rPr>
          <w:rFonts w:cstheme="minorHAnsi"/>
          <w:sz w:val="20"/>
          <w:szCs w:val="20"/>
        </w:rPr>
        <w:t xml:space="preserve"> pour la 1ére phase</w:t>
      </w:r>
      <w:r>
        <w:rPr>
          <w:rFonts w:cstheme="minorHAnsi"/>
          <w:sz w:val="20"/>
          <w:szCs w:val="20"/>
        </w:rPr>
        <w:t>,</w:t>
      </w:r>
      <w:r w:rsidR="008E55DF" w:rsidRPr="005D08A1">
        <w:rPr>
          <w:rFonts w:cstheme="minorHAnsi"/>
          <w:sz w:val="20"/>
          <w:szCs w:val="20"/>
        </w:rPr>
        <w:t xml:space="preserve"> </w:t>
      </w:r>
      <w:r w:rsidR="0023362C" w:rsidRPr="005D08A1">
        <w:rPr>
          <w:rFonts w:cstheme="minorHAnsi"/>
          <w:sz w:val="20"/>
          <w:szCs w:val="20"/>
        </w:rPr>
        <w:t xml:space="preserve">début octobre 2019 </w:t>
      </w:r>
      <w:r w:rsidR="006F0E89">
        <w:rPr>
          <w:rFonts w:cstheme="minorHAnsi"/>
          <w:sz w:val="20"/>
          <w:szCs w:val="20"/>
        </w:rPr>
        <w:t xml:space="preserve">– préparation des phases de tests - </w:t>
      </w:r>
      <w:r w:rsidR="0023362C" w:rsidRPr="005D08A1">
        <w:rPr>
          <w:rFonts w:cstheme="minorHAnsi"/>
          <w:sz w:val="20"/>
          <w:szCs w:val="20"/>
        </w:rPr>
        <w:t>et doivent s’achever à l’été 20</w:t>
      </w:r>
      <w:r w:rsidR="00176F64" w:rsidRPr="005D08A1">
        <w:rPr>
          <w:rFonts w:cstheme="minorHAnsi"/>
          <w:sz w:val="20"/>
          <w:szCs w:val="20"/>
        </w:rPr>
        <w:t>20</w:t>
      </w:r>
      <w:r>
        <w:rPr>
          <w:rFonts w:cstheme="minorHAnsi"/>
          <w:sz w:val="20"/>
          <w:szCs w:val="20"/>
        </w:rPr>
        <w:t>.</w:t>
      </w:r>
      <w:r w:rsidR="0023362C" w:rsidRPr="005D08A1">
        <w:rPr>
          <w:rFonts w:cstheme="minorHAnsi"/>
          <w:sz w:val="20"/>
          <w:szCs w:val="20"/>
        </w:rPr>
        <w:t xml:space="preserve"> </w:t>
      </w:r>
      <w:r w:rsidR="008E55DF" w:rsidRPr="005D08A1">
        <w:rPr>
          <w:rFonts w:cstheme="minorHAnsi"/>
          <w:sz w:val="20"/>
          <w:szCs w:val="20"/>
        </w:rPr>
        <w:t xml:space="preserve"> </w:t>
      </w:r>
    </w:p>
    <w:p w:rsidR="00F94592" w:rsidRDefault="00F94592" w:rsidP="00665A0D">
      <w:pPr>
        <w:spacing w:line="276" w:lineRule="auto"/>
        <w:rPr>
          <w:rFonts w:cstheme="minorHAnsi"/>
          <w:b/>
          <w:bCs/>
          <w:sz w:val="28"/>
          <w:szCs w:val="28"/>
        </w:rPr>
      </w:pPr>
      <w:r w:rsidRPr="00F94592">
        <w:rPr>
          <w:rFonts w:cstheme="minorHAnsi"/>
          <w:b/>
          <w:bCs/>
          <w:sz w:val="28"/>
          <w:szCs w:val="28"/>
        </w:rPr>
        <w:t>Cinq chantiers-pilotes, avec leurs avantages</w:t>
      </w:r>
      <w:r w:rsidRPr="00F94592">
        <w:rPr>
          <w:rFonts w:cstheme="minorHAnsi"/>
          <w:b/>
          <w:bCs/>
          <w:sz w:val="28"/>
          <w:szCs w:val="28"/>
        </w:rPr>
        <w:br/>
        <w:t>et leurs inconvénients</w:t>
      </w:r>
    </w:p>
    <w:p w:rsidR="00F94592" w:rsidRPr="00F94592" w:rsidRDefault="00F94592" w:rsidP="00D33B4D">
      <w:pPr>
        <w:spacing w:line="276" w:lineRule="auto"/>
        <w:jc w:val="both"/>
        <w:rPr>
          <w:rFonts w:cstheme="minorHAnsi"/>
          <w:b/>
          <w:bCs/>
          <w:sz w:val="28"/>
          <w:szCs w:val="28"/>
        </w:rPr>
      </w:pPr>
      <w:r w:rsidRPr="00F94592">
        <w:rPr>
          <w:rFonts w:cstheme="minorHAnsi"/>
          <w:sz w:val="20"/>
          <w:szCs w:val="20"/>
        </w:rPr>
        <w:t xml:space="preserve">Les chantiers-pilotes se déroulent sur des surfaces de 130 à </w:t>
      </w:r>
      <w:r w:rsidR="005D08A1">
        <w:rPr>
          <w:rFonts w:cstheme="minorHAnsi"/>
          <w:sz w:val="20"/>
          <w:szCs w:val="20"/>
        </w:rPr>
        <w:t xml:space="preserve">un peu plus de </w:t>
      </w:r>
      <w:r w:rsidRPr="00F94592">
        <w:rPr>
          <w:rFonts w:cstheme="minorHAnsi"/>
          <w:sz w:val="20"/>
          <w:szCs w:val="20"/>
        </w:rPr>
        <w:t>200 m2. Lors de la visite technique du 27 novembre 2019, les invités assisteront à la mise en œuvre des deux chantiers utilisant les techniques les plus innovantes, le surfaçage robotique et le décapage haute pression.</w:t>
      </w:r>
    </w:p>
    <w:p w:rsidR="00CD784C" w:rsidRPr="00F94592" w:rsidRDefault="00CD784C" w:rsidP="00665A0D">
      <w:pPr>
        <w:autoSpaceDE w:val="0"/>
        <w:autoSpaceDN w:val="0"/>
        <w:adjustRightInd w:val="0"/>
        <w:spacing w:after="0" w:line="276" w:lineRule="auto"/>
        <w:rPr>
          <w:rFonts w:cstheme="minorHAnsi"/>
          <w:b/>
          <w:i/>
          <w:sz w:val="20"/>
          <w:szCs w:val="20"/>
        </w:rPr>
      </w:pPr>
      <w:r w:rsidRPr="00F94592">
        <w:rPr>
          <w:rFonts w:cstheme="minorHAnsi"/>
          <w:b/>
          <w:i/>
          <w:sz w:val="20"/>
          <w:szCs w:val="20"/>
        </w:rPr>
        <w:lastRenderedPageBreak/>
        <w:t>Chantier</w:t>
      </w:r>
      <w:r w:rsidR="00F94592" w:rsidRPr="00F94592">
        <w:rPr>
          <w:rFonts w:cstheme="minorHAnsi"/>
          <w:b/>
          <w:i/>
          <w:sz w:val="20"/>
          <w:szCs w:val="20"/>
        </w:rPr>
        <w:t>-p</w:t>
      </w:r>
      <w:r w:rsidRPr="00F94592">
        <w:rPr>
          <w:rFonts w:cstheme="minorHAnsi"/>
          <w:b/>
          <w:i/>
          <w:sz w:val="20"/>
          <w:szCs w:val="20"/>
        </w:rPr>
        <w:t>ilote n°1</w:t>
      </w:r>
      <w:r w:rsidR="00F94592" w:rsidRPr="00F94592">
        <w:rPr>
          <w:rFonts w:cstheme="minorHAnsi"/>
          <w:b/>
          <w:i/>
          <w:sz w:val="20"/>
          <w:szCs w:val="20"/>
        </w:rPr>
        <w:t xml:space="preserve"> </w:t>
      </w:r>
      <w:r w:rsidRPr="00F94592">
        <w:rPr>
          <w:rFonts w:cstheme="minorHAnsi"/>
          <w:b/>
          <w:i/>
          <w:sz w:val="20"/>
          <w:szCs w:val="20"/>
        </w:rPr>
        <w:t>:</w:t>
      </w:r>
      <w:r w:rsidR="00F94592" w:rsidRPr="00F94592">
        <w:rPr>
          <w:rFonts w:cstheme="minorHAnsi"/>
          <w:b/>
          <w:i/>
          <w:sz w:val="20"/>
          <w:szCs w:val="20"/>
        </w:rPr>
        <w:t xml:space="preserve"> le p</w:t>
      </w:r>
      <w:r w:rsidRPr="00F94592">
        <w:rPr>
          <w:rFonts w:cstheme="minorHAnsi"/>
          <w:b/>
          <w:i/>
          <w:sz w:val="20"/>
          <w:szCs w:val="20"/>
        </w:rPr>
        <w:t>iquetage</w:t>
      </w:r>
      <w:r w:rsidR="00F94592" w:rsidRPr="00F94592">
        <w:rPr>
          <w:rFonts w:cstheme="minorHAnsi"/>
          <w:b/>
          <w:i/>
          <w:sz w:val="20"/>
          <w:szCs w:val="20"/>
        </w:rPr>
        <w:t xml:space="preserve"> manuel</w:t>
      </w:r>
    </w:p>
    <w:p w:rsidR="00F94592" w:rsidRPr="00F94592" w:rsidRDefault="00F94592" w:rsidP="00D33B4D">
      <w:pPr>
        <w:autoSpaceDE w:val="0"/>
        <w:autoSpaceDN w:val="0"/>
        <w:adjustRightInd w:val="0"/>
        <w:spacing w:after="0" w:line="276" w:lineRule="auto"/>
        <w:jc w:val="both"/>
        <w:rPr>
          <w:rFonts w:cstheme="minorHAnsi"/>
          <w:sz w:val="20"/>
          <w:szCs w:val="20"/>
        </w:rPr>
      </w:pPr>
      <w:r w:rsidRPr="00F94592">
        <w:rPr>
          <w:rFonts w:cstheme="minorHAnsi"/>
          <w:sz w:val="20"/>
          <w:szCs w:val="20"/>
        </w:rPr>
        <w:t>Ce chantier-pilote met en œuvre une technique très traditionnelle, celle du piquetage (ou burinage). Pas question de robot ici : il s’agit d’un traitement manuel qui ne nécessite pas de dispositif d’installation complexe et qui ne réclame pas non plus un important investissement en matériel. Les inconvénients sont bien connus : ce travail est fastidieux et pénible pour les opérateurs,</w:t>
      </w:r>
      <w:r w:rsidR="006F0E89">
        <w:rPr>
          <w:rFonts w:cstheme="minorHAnsi"/>
          <w:sz w:val="20"/>
          <w:szCs w:val="20"/>
        </w:rPr>
        <w:t xml:space="preserve"> avec des conséquences connues : celles de troubles musculo-squelettiques, les fameuses TMS. La technique</w:t>
      </w:r>
      <w:r w:rsidRPr="00F94592">
        <w:rPr>
          <w:rFonts w:cstheme="minorHAnsi"/>
          <w:sz w:val="20"/>
          <w:szCs w:val="20"/>
        </w:rPr>
        <w:t xml:space="preserve"> génère </w:t>
      </w:r>
      <w:r w:rsidR="006F0E89">
        <w:rPr>
          <w:rFonts w:cstheme="minorHAnsi"/>
          <w:sz w:val="20"/>
          <w:szCs w:val="20"/>
        </w:rPr>
        <w:t xml:space="preserve">aussi </w:t>
      </w:r>
      <w:r w:rsidRPr="00F94592">
        <w:rPr>
          <w:rFonts w:cstheme="minorHAnsi"/>
          <w:sz w:val="20"/>
          <w:szCs w:val="20"/>
        </w:rPr>
        <w:t>beaucoup de poussières et donc de déchets amiantés et son rendement n’est pas optimal. Seul le désamiantage dans les coins et sur les petites surfaces est plus facile qu’avec d’autres techniques, en revanche il n’y a aucun gain de temps sur les surfaces moyennes ou grandes. « Détail » à prendre en compte pour le bâtiment qui sera préservé : les murs supports seront à reprendre car le piquetage laisse des traces.</w:t>
      </w:r>
    </w:p>
    <w:p w:rsidR="0023362C" w:rsidRPr="00F94592" w:rsidRDefault="0023362C" w:rsidP="00665A0D">
      <w:pPr>
        <w:spacing w:line="276" w:lineRule="auto"/>
        <w:rPr>
          <w:rFonts w:cstheme="minorHAnsi"/>
          <w:sz w:val="20"/>
          <w:szCs w:val="20"/>
        </w:rPr>
      </w:pPr>
    </w:p>
    <w:p w:rsidR="0077413E" w:rsidRPr="00F94592" w:rsidRDefault="0077413E" w:rsidP="00665A0D">
      <w:pPr>
        <w:autoSpaceDE w:val="0"/>
        <w:autoSpaceDN w:val="0"/>
        <w:adjustRightInd w:val="0"/>
        <w:spacing w:after="0" w:line="276" w:lineRule="auto"/>
        <w:rPr>
          <w:rFonts w:cstheme="minorHAnsi"/>
          <w:b/>
          <w:i/>
          <w:sz w:val="20"/>
          <w:szCs w:val="20"/>
        </w:rPr>
      </w:pPr>
      <w:r w:rsidRPr="00F94592">
        <w:rPr>
          <w:rFonts w:cstheme="minorHAnsi"/>
          <w:b/>
          <w:i/>
          <w:sz w:val="20"/>
          <w:szCs w:val="20"/>
        </w:rPr>
        <w:t>Chantier</w:t>
      </w:r>
      <w:r w:rsidR="00F94592" w:rsidRPr="00F94592">
        <w:rPr>
          <w:rFonts w:cstheme="minorHAnsi"/>
          <w:b/>
          <w:i/>
          <w:sz w:val="20"/>
          <w:szCs w:val="20"/>
        </w:rPr>
        <w:t>-p</w:t>
      </w:r>
      <w:r w:rsidRPr="00F94592">
        <w:rPr>
          <w:rFonts w:cstheme="minorHAnsi"/>
          <w:b/>
          <w:i/>
          <w:sz w:val="20"/>
          <w:szCs w:val="20"/>
        </w:rPr>
        <w:t>ilote 2</w:t>
      </w:r>
      <w:r w:rsidR="00F94592" w:rsidRPr="00F94592">
        <w:rPr>
          <w:rFonts w:cstheme="minorHAnsi"/>
          <w:b/>
          <w:i/>
          <w:sz w:val="20"/>
          <w:szCs w:val="20"/>
        </w:rPr>
        <w:t xml:space="preserve"> </w:t>
      </w:r>
      <w:r w:rsidRPr="00F94592">
        <w:rPr>
          <w:rFonts w:cstheme="minorHAnsi"/>
          <w:b/>
          <w:i/>
          <w:sz w:val="20"/>
          <w:szCs w:val="20"/>
        </w:rPr>
        <w:t>:</w:t>
      </w:r>
      <w:r w:rsidR="00F94592" w:rsidRPr="00F94592">
        <w:rPr>
          <w:rFonts w:cstheme="minorHAnsi"/>
          <w:b/>
          <w:i/>
          <w:sz w:val="20"/>
          <w:szCs w:val="20"/>
        </w:rPr>
        <w:t xml:space="preserve"> le s</w:t>
      </w:r>
      <w:r w:rsidRPr="00F94592">
        <w:rPr>
          <w:rFonts w:cstheme="minorHAnsi"/>
          <w:b/>
          <w:i/>
          <w:sz w:val="20"/>
          <w:szCs w:val="20"/>
        </w:rPr>
        <w:t>urfaçage robotique</w:t>
      </w:r>
    </w:p>
    <w:p w:rsidR="00F94592" w:rsidRPr="00F94592" w:rsidRDefault="00F94592" w:rsidP="00D33B4D">
      <w:pPr>
        <w:autoSpaceDE w:val="0"/>
        <w:autoSpaceDN w:val="0"/>
        <w:adjustRightInd w:val="0"/>
        <w:spacing w:after="0" w:line="276" w:lineRule="auto"/>
        <w:jc w:val="both"/>
        <w:rPr>
          <w:rFonts w:cstheme="minorHAnsi"/>
          <w:sz w:val="20"/>
          <w:szCs w:val="20"/>
        </w:rPr>
      </w:pPr>
      <w:r w:rsidRPr="00F94592">
        <w:rPr>
          <w:rFonts w:cstheme="minorHAnsi"/>
          <w:sz w:val="20"/>
          <w:szCs w:val="20"/>
        </w:rPr>
        <w:t xml:space="preserve">C’est une des principales innovations – avec le décapage haute pression – des cinq-chantiers pilotes mis en œuvre par le groupement d’entreprises ATD-Valgo. Dans le cas du surfaçage robotique, c’est le robot qui est exposé aux poussières et pas les opérateurs… Ils interviennent en retrait déporté car le robot est équipé d’un bras au bout duquel est installé le système de ponçage. En termes de pénibilité et de risques pour les personnes, cette technique est donc plus intéressante, puisque le robot se pilote à distance. En revanche, elle réclame une installation plus longue du chantier </w:t>
      </w:r>
      <w:r w:rsidR="006F0E89">
        <w:rPr>
          <w:rFonts w:cstheme="minorHAnsi"/>
          <w:sz w:val="20"/>
          <w:szCs w:val="20"/>
        </w:rPr>
        <w:t>et une dextérité des opérateurs pour piloter le robot. Elle</w:t>
      </w:r>
      <w:r w:rsidRPr="00F94592">
        <w:rPr>
          <w:rFonts w:cstheme="minorHAnsi"/>
          <w:sz w:val="20"/>
          <w:szCs w:val="20"/>
        </w:rPr>
        <w:t xml:space="preserve"> nécessite une décontamination du matériel, forcément plus complexe. Pour les surfaces petites, difficilement accessibles, ou dans les coins, il faudra maintenir une équipe pour des interventions manuelles.</w:t>
      </w:r>
    </w:p>
    <w:p w:rsidR="00760E20" w:rsidRPr="00F94592" w:rsidRDefault="00760E20" w:rsidP="00665A0D">
      <w:pPr>
        <w:autoSpaceDE w:val="0"/>
        <w:autoSpaceDN w:val="0"/>
        <w:adjustRightInd w:val="0"/>
        <w:spacing w:after="0" w:line="276" w:lineRule="auto"/>
        <w:rPr>
          <w:rFonts w:cstheme="minorHAnsi"/>
          <w:sz w:val="20"/>
          <w:szCs w:val="20"/>
        </w:rPr>
      </w:pPr>
    </w:p>
    <w:p w:rsidR="0077413E" w:rsidRPr="00F94592" w:rsidRDefault="00760E20" w:rsidP="00665A0D">
      <w:pPr>
        <w:spacing w:line="276" w:lineRule="auto"/>
        <w:rPr>
          <w:rFonts w:cstheme="minorHAnsi"/>
          <w:sz w:val="20"/>
          <w:szCs w:val="20"/>
        </w:rPr>
      </w:pPr>
      <w:r w:rsidRPr="00F94592">
        <w:rPr>
          <w:rFonts w:cstheme="minorHAnsi"/>
          <w:noProof/>
          <w:lang w:eastAsia="fr-FR"/>
        </w:rPr>
        <w:drawing>
          <wp:inline distT="0" distB="0" distL="0" distR="0" wp14:anchorId="0FEDFCF2" wp14:editId="380D76B1">
            <wp:extent cx="1606272" cy="1066800"/>
            <wp:effectExtent l="0" t="0" r="0" b="0"/>
            <wp:docPr id="13" name="Image 13" descr="https://www.lemoniteurmateriels.fr/mediatheque/9/0/1/001535109_926x61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moniteurmateriels.fr/mediatheque/9/0/1/001535109_926x615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6164" cy="1073370"/>
                    </a:xfrm>
                    <a:prstGeom prst="rect">
                      <a:avLst/>
                    </a:prstGeom>
                    <a:noFill/>
                    <a:ln>
                      <a:noFill/>
                    </a:ln>
                  </pic:spPr>
                </pic:pic>
              </a:graphicData>
            </a:graphic>
          </wp:inline>
        </w:drawing>
      </w:r>
    </w:p>
    <w:p w:rsidR="0077413E" w:rsidRPr="00F94592" w:rsidRDefault="0077413E" w:rsidP="00665A0D">
      <w:pPr>
        <w:autoSpaceDE w:val="0"/>
        <w:autoSpaceDN w:val="0"/>
        <w:adjustRightInd w:val="0"/>
        <w:spacing w:after="0" w:line="276" w:lineRule="auto"/>
        <w:rPr>
          <w:rFonts w:cstheme="minorHAnsi"/>
          <w:b/>
          <w:i/>
          <w:sz w:val="20"/>
          <w:szCs w:val="20"/>
        </w:rPr>
      </w:pPr>
      <w:r w:rsidRPr="00F94592">
        <w:rPr>
          <w:rFonts w:cstheme="minorHAnsi"/>
          <w:b/>
          <w:i/>
          <w:sz w:val="20"/>
          <w:szCs w:val="20"/>
        </w:rPr>
        <w:t>Chantier</w:t>
      </w:r>
      <w:r w:rsidR="00F94592" w:rsidRPr="00F94592">
        <w:rPr>
          <w:rFonts w:cstheme="minorHAnsi"/>
          <w:b/>
          <w:i/>
          <w:sz w:val="20"/>
          <w:szCs w:val="20"/>
        </w:rPr>
        <w:t>-p</w:t>
      </w:r>
      <w:r w:rsidRPr="00F94592">
        <w:rPr>
          <w:rFonts w:cstheme="minorHAnsi"/>
          <w:b/>
          <w:i/>
          <w:sz w:val="20"/>
          <w:szCs w:val="20"/>
        </w:rPr>
        <w:t>ilote 3</w:t>
      </w:r>
      <w:r w:rsidR="00F94592" w:rsidRPr="00F94592">
        <w:rPr>
          <w:rFonts w:cstheme="minorHAnsi"/>
          <w:b/>
          <w:i/>
          <w:sz w:val="20"/>
          <w:szCs w:val="20"/>
        </w:rPr>
        <w:t xml:space="preserve"> </w:t>
      </w:r>
      <w:r w:rsidRPr="00F94592">
        <w:rPr>
          <w:rFonts w:cstheme="minorHAnsi"/>
          <w:b/>
          <w:i/>
          <w:sz w:val="20"/>
          <w:szCs w:val="20"/>
        </w:rPr>
        <w:t>:</w:t>
      </w:r>
      <w:r w:rsidR="00F94592" w:rsidRPr="00F94592">
        <w:rPr>
          <w:rFonts w:cstheme="minorHAnsi"/>
          <w:b/>
          <w:i/>
          <w:sz w:val="20"/>
          <w:szCs w:val="20"/>
        </w:rPr>
        <w:t xml:space="preserve"> la p</w:t>
      </w:r>
      <w:r w:rsidRPr="00F94592">
        <w:rPr>
          <w:rFonts w:cstheme="minorHAnsi"/>
          <w:b/>
          <w:i/>
          <w:sz w:val="20"/>
          <w:szCs w:val="20"/>
        </w:rPr>
        <w:t>rojection de matériaux abrasifs de type composite</w:t>
      </w:r>
    </w:p>
    <w:p w:rsidR="00F94592" w:rsidRPr="00F94592" w:rsidRDefault="00F94592" w:rsidP="00D33B4D">
      <w:pPr>
        <w:autoSpaceDE w:val="0"/>
        <w:autoSpaceDN w:val="0"/>
        <w:adjustRightInd w:val="0"/>
        <w:spacing w:after="0" w:line="276" w:lineRule="auto"/>
        <w:jc w:val="both"/>
        <w:rPr>
          <w:rFonts w:cstheme="minorHAnsi"/>
          <w:sz w:val="20"/>
          <w:szCs w:val="20"/>
        </w:rPr>
      </w:pPr>
      <w:r w:rsidRPr="00F94592">
        <w:rPr>
          <w:rFonts w:cstheme="minorHAnsi"/>
          <w:sz w:val="20"/>
          <w:szCs w:val="20"/>
        </w:rPr>
        <w:t>Autrement appelé « hydro-grenaillage », cette technique consiste à projeter de l’eau et du sable sur le support. Ce sablage présente l’inconvénient de générer beaucoup de boues polluées et un empoussièrement élevé. La gestion des déchets constitue donc un des principaux désavantages de cette technique. En outre, il n’y a pas de déport des opérateurs, comme dans le cas précédent, puisque le sablage se fait à + ou – 30 cm du support. Les avantages de cette technique résident dans la rapidité d’installation, dans la rapidité d’exécution (les peintures s’enlèvent rapidement) et dans la netteté du rendu après mise en œuvre. Les petites surfaces, difficiles d’accès ou en coin, peuvent être traitées par cette technique, ce qui constitue également un avantage.</w:t>
      </w:r>
    </w:p>
    <w:p w:rsidR="00F94592" w:rsidRPr="00F94592" w:rsidRDefault="00F94592" w:rsidP="00665A0D">
      <w:pPr>
        <w:autoSpaceDE w:val="0"/>
        <w:autoSpaceDN w:val="0"/>
        <w:adjustRightInd w:val="0"/>
        <w:spacing w:after="0" w:line="276" w:lineRule="auto"/>
        <w:rPr>
          <w:rFonts w:cstheme="minorHAnsi"/>
          <w:sz w:val="20"/>
          <w:szCs w:val="20"/>
        </w:rPr>
      </w:pPr>
    </w:p>
    <w:p w:rsidR="00760E20" w:rsidRPr="00F94592" w:rsidRDefault="00F94592" w:rsidP="00665A0D">
      <w:pPr>
        <w:autoSpaceDE w:val="0"/>
        <w:autoSpaceDN w:val="0"/>
        <w:adjustRightInd w:val="0"/>
        <w:spacing w:after="0" w:line="276" w:lineRule="auto"/>
        <w:rPr>
          <w:rFonts w:cstheme="minorHAnsi"/>
          <w:b/>
          <w:i/>
          <w:sz w:val="20"/>
          <w:szCs w:val="20"/>
        </w:rPr>
      </w:pPr>
      <w:bookmarkStart w:id="0" w:name="_GoBack"/>
      <w:r w:rsidRPr="00F94592">
        <w:rPr>
          <w:rFonts w:cstheme="minorHAnsi"/>
          <w:b/>
          <w:i/>
          <w:noProof/>
          <w:sz w:val="20"/>
          <w:szCs w:val="20"/>
          <w:lang w:eastAsia="fr-FR"/>
        </w:rPr>
        <w:drawing>
          <wp:inline distT="0" distB="0" distL="0" distR="0" wp14:anchorId="301401E0" wp14:editId="1F435A50">
            <wp:extent cx="720335" cy="145732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33299" cy="1483554"/>
                    </a:xfrm>
                    <a:prstGeom prst="rect">
                      <a:avLst/>
                    </a:prstGeom>
                  </pic:spPr>
                </pic:pic>
              </a:graphicData>
            </a:graphic>
          </wp:inline>
        </w:drawing>
      </w:r>
      <w:bookmarkEnd w:id="0"/>
    </w:p>
    <w:p w:rsidR="00760E20" w:rsidRPr="00F94592" w:rsidRDefault="00760E20" w:rsidP="00665A0D">
      <w:pPr>
        <w:autoSpaceDE w:val="0"/>
        <w:autoSpaceDN w:val="0"/>
        <w:adjustRightInd w:val="0"/>
        <w:spacing w:after="0" w:line="276" w:lineRule="auto"/>
        <w:rPr>
          <w:rFonts w:cstheme="minorHAnsi"/>
          <w:b/>
          <w:i/>
          <w:sz w:val="20"/>
          <w:szCs w:val="20"/>
        </w:rPr>
      </w:pPr>
    </w:p>
    <w:p w:rsidR="0077413E" w:rsidRPr="00F94592" w:rsidRDefault="0077413E" w:rsidP="00665A0D">
      <w:pPr>
        <w:autoSpaceDE w:val="0"/>
        <w:autoSpaceDN w:val="0"/>
        <w:adjustRightInd w:val="0"/>
        <w:spacing w:after="0" w:line="276" w:lineRule="auto"/>
        <w:rPr>
          <w:rFonts w:cstheme="minorHAnsi"/>
          <w:b/>
          <w:i/>
          <w:sz w:val="20"/>
          <w:szCs w:val="20"/>
        </w:rPr>
      </w:pPr>
      <w:r w:rsidRPr="00F94592">
        <w:rPr>
          <w:rFonts w:cstheme="minorHAnsi"/>
          <w:b/>
          <w:i/>
          <w:sz w:val="20"/>
          <w:szCs w:val="20"/>
        </w:rPr>
        <w:t>Chantier</w:t>
      </w:r>
      <w:r w:rsidR="00F94592">
        <w:rPr>
          <w:rFonts w:cstheme="minorHAnsi"/>
          <w:b/>
          <w:i/>
          <w:sz w:val="20"/>
          <w:szCs w:val="20"/>
        </w:rPr>
        <w:t>-p</w:t>
      </w:r>
      <w:r w:rsidRPr="00F94592">
        <w:rPr>
          <w:rFonts w:cstheme="minorHAnsi"/>
          <w:b/>
          <w:i/>
          <w:sz w:val="20"/>
          <w:szCs w:val="20"/>
        </w:rPr>
        <w:t xml:space="preserve">ilote </w:t>
      </w:r>
      <w:r w:rsidR="00985EA6" w:rsidRPr="00F94592">
        <w:rPr>
          <w:rFonts w:cstheme="minorHAnsi"/>
          <w:b/>
          <w:i/>
          <w:sz w:val="20"/>
          <w:szCs w:val="20"/>
        </w:rPr>
        <w:t>4</w:t>
      </w:r>
      <w:r w:rsidR="00B4680E">
        <w:rPr>
          <w:rFonts w:cstheme="minorHAnsi"/>
          <w:b/>
          <w:i/>
          <w:sz w:val="20"/>
          <w:szCs w:val="20"/>
        </w:rPr>
        <w:t xml:space="preserve"> </w:t>
      </w:r>
      <w:r w:rsidRPr="00F94592">
        <w:rPr>
          <w:rFonts w:cstheme="minorHAnsi"/>
          <w:b/>
          <w:i/>
          <w:sz w:val="20"/>
          <w:szCs w:val="20"/>
        </w:rPr>
        <w:t>:</w:t>
      </w:r>
      <w:r w:rsidR="00F94592">
        <w:rPr>
          <w:rFonts w:cstheme="minorHAnsi"/>
          <w:b/>
          <w:i/>
          <w:sz w:val="20"/>
          <w:szCs w:val="20"/>
        </w:rPr>
        <w:t xml:space="preserve"> le</w:t>
      </w:r>
      <w:r w:rsidRPr="00F94592">
        <w:rPr>
          <w:rFonts w:cstheme="minorHAnsi"/>
          <w:b/>
          <w:i/>
          <w:sz w:val="20"/>
          <w:szCs w:val="20"/>
        </w:rPr>
        <w:t xml:space="preserve"> </w:t>
      </w:r>
      <w:r w:rsidR="00F94592">
        <w:rPr>
          <w:rFonts w:cstheme="minorHAnsi"/>
          <w:b/>
          <w:i/>
          <w:sz w:val="20"/>
          <w:szCs w:val="20"/>
        </w:rPr>
        <w:t>d</w:t>
      </w:r>
      <w:r w:rsidR="00985EA6" w:rsidRPr="00F94592">
        <w:rPr>
          <w:rFonts w:cstheme="minorHAnsi"/>
          <w:b/>
          <w:i/>
          <w:sz w:val="20"/>
          <w:szCs w:val="20"/>
        </w:rPr>
        <w:t xml:space="preserve">écapage haute </w:t>
      </w:r>
      <w:r w:rsidR="00B4680E">
        <w:rPr>
          <w:rFonts w:cstheme="minorHAnsi"/>
          <w:b/>
          <w:i/>
          <w:sz w:val="20"/>
          <w:szCs w:val="20"/>
        </w:rPr>
        <w:t xml:space="preserve">ou ultra haute </w:t>
      </w:r>
      <w:r w:rsidR="00985EA6" w:rsidRPr="00F94592">
        <w:rPr>
          <w:rFonts w:cstheme="minorHAnsi"/>
          <w:b/>
          <w:i/>
          <w:sz w:val="20"/>
          <w:szCs w:val="20"/>
        </w:rPr>
        <w:t>pression</w:t>
      </w:r>
    </w:p>
    <w:p w:rsidR="00B4680E" w:rsidRDefault="00B4680E" w:rsidP="00D33B4D">
      <w:pPr>
        <w:autoSpaceDE w:val="0"/>
        <w:autoSpaceDN w:val="0"/>
        <w:adjustRightInd w:val="0"/>
        <w:spacing w:after="0" w:line="276" w:lineRule="auto"/>
        <w:jc w:val="both"/>
        <w:rPr>
          <w:rFonts w:cstheme="minorHAnsi"/>
          <w:sz w:val="20"/>
          <w:szCs w:val="20"/>
        </w:rPr>
      </w:pPr>
      <w:r>
        <w:rPr>
          <w:rFonts w:cstheme="minorHAnsi"/>
          <w:sz w:val="20"/>
          <w:szCs w:val="20"/>
        </w:rPr>
        <w:t xml:space="preserve">Contrairement à la technique précédente, le décapage haute pression n’utilise que de l’eau… Comme l’élimination de l’amiante se fait par filtrage de l’eau, cette technique génère une petite quantité de déchets </w:t>
      </w:r>
      <w:r>
        <w:rPr>
          <w:rFonts w:cstheme="minorHAnsi"/>
          <w:sz w:val="20"/>
          <w:szCs w:val="20"/>
        </w:rPr>
        <w:lastRenderedPageBreak/>
        <w:t>(l’amiante seule est recueillie). A cela s’ajoutent un niveau bas d’empoussièrement et, comme pour les deux techniques précédentes, une pénibilité réduite par rapport aux techniques manuelles. Comme pour le chantier-pilote 2, c’est un robot – cette fois d’hydro-décapage – qui réalise le désamiantage. Le pilotage peut être manuel ou automatisé ce qui permet un déport des opérateurs par rapport au chantier. Ce déport est important car la haute pression pourrait blesser gravement les opérateurs s’ils étaient exposés au jet. Les inconvénients principaux de cette méthode résident dans l’installation fastidieuse de la machine (dite Wallshaver), dans le prix du matériel mais aussi dans la durée de dépose du matériel, sensiblement supérieure aux autres techniques.</w:t>
      </w:r>
    </w:p>
    <w:p w:rsidR="00B4680E" w:rsidRDefault="00B4680E" w:rsidP="00665A0D">
      <w:pPr>
        <w:autoSpaceDE w:val="0"/>
        <w:autoSpaceDN w:val="0"/>
        <w:adjustRightInd w:val="0"/>
        <w:spacing w:after="0" w:line="276" w:lineRule="auto"/>
        <w:rPr>
          <w:rFonts w:cstheme="minorHAnsi"/>
          <w:sz w:val="20"/>
          <w:szCs w:val="20"/>
        </w:rPr>
      </w:pPr>
    </w:p>
    <w:p w:rsidR="0077413E" w:rsidRDefault="00760E20" w:rsidP="00665A0D">
      <w:pPr>
        <w:autoSpaceDE w:val="0"/>
        <w:autoSpaceDN w:val="0"/>
        <w:adjustRightInd w:val="0"/>
        <w:spacing w:after="0" w:line="276" w:lineRule="auto"/>
        <w:rPr>
          <w:rFonts w:cstheme="minorHAnsi"/>
          <w:sz w:val="20"/>
          <w:szCs w:val="20"/>
        </w:rPr>
      </w:pPr>
      <w:r w:rsidRPr="00F94592">
        <w:rPr>
          <w:rFonts w:cstheme="minorHAnsi"/>
          <w:noProof/>
          <w:lang w:eastAsia="fr-FR"/>
        </w:rPr>
        <w:drawing>
          <wp:inline distT="0" distB="0" distL="0" distR="0" wp14:anchorId="2E0DD58E" wp14:editId="33FAB7A5">
            <wp:extent cx="1190625" cy="754703"/>
            <wp:effectExtent l="0" t="0" r="0" b="7620"/>
            <wp:docPr id="15" name="Image 1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7088" cy="758800"/>
                    </a:xfrm>
                    <a:prstGeom prst="rect">
                      <a:avLst/>
                    </a:prstGeom>
                    <a:noFill/>
                    <a:ln>
                      <a:noFill/>
                    </a:ln>
                  </pic:spPr>
                </pic:pic>
              </a:graphicData>
            </a:graphic>
          </wp:inline>
        </w:drawing>
      </w:r>
    </w:p>
    <w:p w:rsidR="00B4680E" w:rsidRPr="00F94592" w:rsidRDefault="00B4680E" w:rsidP="00665A0D">
      <w:pPr>
        <w:autoSpaceDE w:val="0"/>
        <w:autoSpaceDN w:val="0"/>
        <w:adjustRightInd w:val="0"/>
        <w:spacing w:after="0" w:line="276" w:lineRule="auto"/>
        <w:rPr>
          <w:rFonts w:cstheme="minorHAnsi"/>
          <w:sz w:val="20"/>
          <w:szCs w:val="20"/>
        </w:rPr>
      </w:pPr>
    </w:p>
    <w:p w:rsidR="0077413E" w:rsidRPr="00F94592" w:rsidRDefault="00985EA6" w:rsidP="00665A0D">
      <w:pPr>
        <w:autoSpaceDE w:val="0"/>
        <w:autoSpaceDN w:val="0"/>
        <w:adjustRightInd w:val="0"/>
        <w:spacing w:after="0" w:line="276" w:lineRule="auto"/>
        <w:rPr>
          <w:rFonts w:cstheme="minorHAnsi"/>
          <w:b/>
          <w:i/>
          <w:sz w:val="20"/>
          <w:szCs w:val="20"/>
        </w:rPr>
      </w:pPr>
      <w:r w:rsidRPr="00F94592">
        <w:rPr>
          <w:rFonts w:cstheme="minorHAnsi"/>
          <w:b/>
          <w:i/>
          <w:sz w:val="20"/>
          <w:szCs w:val="20"/>
        </w:rPr>
        <w:t>Chantier</w:t>
      </w:r>
      <w:r w:rsidR="00B4680E">
        <w:rPr>
          <w:rFonts w:cstheme="minorHAnsi"/>
          <w:b/>
          <w:i/>
          <w:sz w:val="20"/>
          <w:szCs w:val="20"/>
        </w:rPr>
        <w:t>-p</w:t>
      </w:r>
      <w:r w:rsidRPr="00F94592">
        <w:rPr>
          <w:rFonts w:cstheme="minorHAnsi"/>
          <w:b/>
          <w:i/>
          <w:sz w:val="20"/>
          <w:szCs w:val="20"/>
        </w:rPr>
        <w:t>ilote 5</w:t>
      </w:r>
      <w:r w:rsidR="00B4680E">
        <w:rPr>
          <w:rFonts w:cstheme="minorHAnsi"/>
          <w:b/>
          <w:i/>
          <w:sz w:val="20"/>
          <w:szCs w:val="20"/>
        </w:rPr>
        <w:t xml:space="preserve"> </w:t>
      </w:r>
      <w:r w:rsidR="0077413E" w:rsidRPr="00F94592">
        <w:rPr>
          <w:rFonts w:cstheme="minorHAnsi"/>
          <w:b/>
          <w:i/>
          <w:sz w:val="20"/>
          <w:szCs w:val="20"/>
        </w:rPr>
        <w:t>:</w:t>
      </w:r>
      <w:r w:rsidR="00B4680E">
        <w:rPr>
          <w:rFonts w:cstheme="minorHAnsi"/>
          <w:b/>
          <w:i/>
          <w:sz w:val="20"/>
          <w:szCs w:val="20"/>
        </w:rPr>
        <w:t xml:space="preserve"> le p</w:t>
      </w:r>
      <w:r w:rsidRPr="00F94592">
        <w:rPr>
          <w:rFonts w:cstheme="minorHAnsi"/>
          <w:b/>
          <w:i/>
          <w:sz w:val="20"/>
          <w:szCs w:val="20"/>
        </w:rPr>
        <w:t xml:space="preserve">onçage manuel </w:t>
      </w:r>
    </w:p>
    <w:p w:rsidR="00B4680E" w:rsidRDefault="00B4680E" w:rsidP="00D33B4D">
      <w:pPr>
        <w:autoSpaceDE w:val="0"/>
        <w:autoSpaceDN w:val="0"/>
        <w:adjustRightInd w:val="0"/>
        <w:spacing w:after="0" w:line="276" w:lineRule="auto"/>
        <w:jc w:val="both"/>
        <w:rPr>
          <w:rFonts w:cstheme="minorHAnsi"/>
          <w:sz w:val="20"/>
          <w:szCs w:val="20"/>
        </w:rPr>
      </w:pPr>
      <w:r w:rsidRPr="00F94592">
        <w:rPr>
          <w:rFonts w:cstheme="minorHAnsi"/>
          <w:sz w:val="20"/>
          <w:szCs w:val="20"/>
        </w:rPr>
        <w:t>C</w:t>
      </w:r>
      <w:r>
        <w:rPr>
          <w:rFonts w:cstheme="minorHAnsi"/>
          <w:sz w:val="20"/>
          <w:szCs w:val="20"/>
        </w:rPr>
        <w:t>omme pour le piquetage manuel, le ponçage manuel fait partie des techniques traditionnelles largement éprouvées. Selon les retours d’expériences des entreprises ATD et Valgo, cette technique s’avère cependant supérieure à celle du piquetage : elle s’avère tout aussi rapide en matière d’installation mais elle génère moins de poussières, s’avère plus rapide, permet d’obtenir un meilleur rendement et avec un support propre après intervention. En termes de coût, l’investissement est limité, inférieur en tout cas aux trois techniques qui font appel à des machines « lourdes ». Le point noir réside surtout dans la pénibilité accrue pour le traitement au plafond car l’équipement est plus lourd que pour le piquetage.</w:t>
      </w:r>
    </w:p>
    <w:p w:rsidR="0077413E" w:rsidRDefault="0077413E" w:rsidP="005D08A1">
      <w:pPr>
        <w:spacing w:line="360" w:lineRule="auto"/>
        <w:rPr>
          <w:rFonts w:cstheme="minorHAnsi"/>
          <w:sz w:val="20"/>
          <w:szCs w:val="20"/>
        </w:rPr>
      </w:pPr>
    </w:p>
    <w:p w:rsidR="00B4680E" w:rsidRDefault="00B4680E" w:rsidP="005D08A1">
      <w:pPr>
        <w:rPr>
          <w:rFonts w:cstheme="minorHAnsi"/>
          <w:b/>
          <w:bCs/>
          <w:sz w:val="28"/>
          <w:szCs w:val="28"/>
        </w:rPr>
      </w:pPr>
      <w:r>
        <w:rPr>
          <w:rFonts w:cstheme="minorHAnsi"/>
          <w:b/>
          <w:bCs/>
          <w:sz w:val="28"/>
          <w:szCs w:val="28"/>
        </w:rPr>
        <w:t xml:space="preserve">Une action coordonnée sur les friches </w:t>
      </w:r>
      <w:r>
        <w:rPr>
          <w:rFonts w:cstheme="minorHAnsi"/>
          <w:b/>
          <w:bCs/>
          <w:sz w:val="28"/>
          <w:szCs w:val="28"/>
        </w:rPr>
        <w:br/>
        <w:t>avec le Conseil régional de Normandie</w:t>
      </w:r>
    </w:p>
    <w:p w:rsidR="00B4680E" w:rsidRDefault="00B4680E" w:rsidP="00D33B4D">
      <w:pPr>
        <w:spacing w:line="276" w:lineRule="auto"/>
        <w:jc w:val="both"/>
        <w:rPr>
          <w:rFonts w:cstheme="minorHAnsi"/>
          <w:sz w:val="20"/>
          <w:szCs w:val="20"/>
        </w:rPr>
      </w:pPr>
      <w:r>
        <w:rPr>
          <w:rFonts w:cstheme="minorHAnsi"/>
          <w:sz w:val="20"/>
          <w:szCs w:val="20"/>
        </w:rPr>
        <w:t>C’est le 12 avril 2017 que la Région Normandie et l’EPF Normandie signent une convention qui mobilise 100 millions € d’investissement sur cinq ans pour la requalification foncière et la revitalisation urbaine dans la région réunifiée. Aujourd’hui, 98 millions sont déjà programmés, dont 90 millions pour le seul « Fonds friches », un des six dispositifs concernés par la convention. L’opération de Sainte-Adresse entre dans ce cadre : l’enveloppe d’études et de travaux de déconstruction et de désamiantage de l’opération ENSM bénéficie ainsi, non seulement de l’aide du Conseil régional et de l’EPF, mais aussi du Fonds européen de développement régional (FEDER) et, bien sûr, de la ville de Sainte-Adresse.</w:t>
      </w:r>
    </w:p>
    <w:p w:rsidR="00B4680E" w:rsidRDefault="00B4680E" w:rsidP="00D33B4D">
      <w:pPr>
        <w:spacing w:line="276" w:lineRule="auto"/>
        <w:jc w:val="both"/>
        <w:rPr>
          <w:rFonts w:cstheme="minorHAnsi"/>
          <w:sz w:val="20"/>
          <w:szCs w:val="20"/>
        </w:rPr>
      </w:pPr>
      <w:r>
        <w:rPr>
          <w:rFonts w:cstheme="minorHAnsi"/>
          <w:sz w:val="20"/>
          <w:szCs w:val="20"/>
        </w:rPr>
        <w:t xml:space="preserve">Du côté de l’EPF Normandie, les missions de recyclage foncier sont </w:t>
      </w:r>
      <w:r w:rsidR="005D08A1">
        <w:rPr>
          <w:rFonts w:cstheme="minorHAnsi"/>
          <w:sz w:val="20"/>
          <w:szCs w:val="20"/>
        </w:rPr>
        <w:t>toujours en</w:t>
      </w:r>
      <w:r>
        <w:rPr>
          <w:rFonts w:cstheme="minorHAnsi"/>
          <w:sz w:val="20"/>
          <w:szCs w:val="20"/>
        </w:rPr>
        <w:t xml:space="preserve"> hausse et représentent près de 40 % des sollicitations de l’EPF par les collectivités. Il s’agit donc là d’une mission majeure de l’établissement public, 28 ans après son engagement dans ce domaine (3). Sur l’ensemble des sollicitations, 45 % émanent de villes moyennes et 29 % des grandes agglomérations.</w:t>
      </w:r>
    </w:p>
    <w:p w:rsidR="005D08A1" w:rsidRDefault="005D08A1" w:rsidP="005D08A1">
      <w:pPr>
        <w:rPr>
          <w:rFonts w:cstheme="minorHAnsi"/>
          <w:b/>
          <w:bCs/>
          <w:sz w:val="28"/>
          <w:szCs w:val="28"/>
        </w:rPr>
      </w:pPr>
      <w:r>
        <w:rPr>
          <w:rFonts w:cstheme="minorHAnsi"/>
          <w:b/>
          <w:bCs/>
          <w:sz w:val="28"/>
          <w:szCs w:val="28"/>
        </w:rPr>
        <w:t>Un renforcement des missions</w:t>
      </w:r>
      <w:r>
        <w:rPr>
          <w:rFonts w:cstheme="minorHAnsi"/>
          <w:b/>
          <w:bCs/>
          <w:sz w:val="28"/>
          <w:szCs w:val="28"/>
        </w:rPr>
        <w:br/>
        <w:t xml:space="preserve">en faveur du désamiantage </w:t>
      </w:r>
    </w:p>
    <w:p w:rsidR="00665A0D" w:rsidRDefault="005D08A1" w:rsidP="00D33B4D">
      <w:pPr>
        <w:spacing w:line="276" w:lineRule="auto"/>
        <w:jc w:val="both"/>
        <w:rPr>
          <w:rFonts w:cstheme="minorHAnsi"/>
          <w:sz w:val="20"/>
          <w:szCs w:val="20"/>
        </w:rPr>
      </w:pPr>
      <w:r>
        <w:rPr>
          <w:rFonts w:cstheme="minorHAnsi"/>
          <w:sz w:val="20"/>
          <w:szCs w:val="20"/>
        </w:rPr>
        <w:t xml:space="preserve">La « spécialisation » de l’EPF en matière de désamiantage, portée en germe dans le Fonds friches, se cristallise en 2016 avec la déconstruction et le désamiantage de l’usine Evers, à Epouville (Seine-Maritime). Tout va ensuite aller très vite, puisque l’EPF Normandie inscrit cette dimension nouvelle de son action dans son programme pluriannuel d’intervention 2017-2021 (PPI). </w:t>
      </w:r>
      <w:r>
        <w:rPr>
          <w:rFonts w:cstheme="minorHAnsi"/>
          <w:sz w:val="20"/>
          <w:szCs w:val="20"/>
        </w:rPr>
        <w:br/>
        <w:t xml:space="preserve">Résultats : l’évaluation à mi-parcours du PPI, réalisée en 2019, montre qu’une trentaine d’opérations sont concernés, avec 23 interventions sur des bâtiments publics – dont le site ENSM – et 9 interventions sur des immeubles de logements sociaux. Lors de la même évaluation, 45 % des collectivités interrogées estiment que cette « offre » de l’EPF Normandie répond à un réel besoin du territoire. </w:t>
      </w:r>
    </w:p>
    <w:p w:rsidR="005D08A1" w:rsidRDefault="005D08A1" w:rsidP="00D33B4D">
      <w:pPr>
        <w:spacing w:line="276" w:lineRule="auto"/>
        <w:jc w:val="both"/>
        <w:rPr>
          <w:rFonts w:cstheme="minorHAnsi"/>
          <w:sz w:val="20"/>
          <w:szCs w:val="20"/>
        </w:rPr>
      </w:pPr>
      <w:r>
        <w:rPr>
          <w:rFonts w:cstheme="minorHAnsi"/>
          <w:sz w:val="20"/>
          <w:szCs w:val="20"/>
        </w:rPr>
        <w:lastRenderedPageBreak/>
        <w:t>C’est donc dans une dynamique d’approfondissement de son expertise en matière de désamiantage et, plus généralement de dépollution, que s’est engagé l’EPF Normandie, au vu des besoins du territoire en matière de traitement des friches industrielles. En cela, il est accompagné fortement par la région Normandie et par l’Etat, notamment en mobilisant les fonds européens.</w:t>
      </w:r>
    </w:p>
    <w:p w:rsidR="00F94592" w:rsidRPr="005D08A1" w:rsidRDefault="005D08A1" w:rsidP="005D08A1">
      <w:pPr>
        <w:ind w:left="360"/>
        <w:rPr>
          <w:rFonts w:cstheme="minorHAnsi"/>
          <w:i/>
          <w:iCs/>
          <w:sz w:val="18"/>
          <w:szCs w:val="18"/>
        </w:rPr>
      </w:pPr>
      <w:r>
        <w:rPr>
          <w:rFonts w:cstheme="minorHAnsi"/>
          <w:sz w:val="20"/>
          <w:szCs w:val="20"/>
        </w:rPr>
        <w:t xml:space="preserve"> </w:t>
      </w:r>
      <w:r>
        <w:rPr>
          <w:rFonts w:cstheme="minorHAnsi"/>
          <w:sz w:val="20"/>
          <w:szCs w:val="20"/>
        </w:rPr>
        <w:br/>
      </w:r>
      <w:r w:rsidRPr="005D08A1">
        <w:rPr>
          <w:rFonts w:cstheme="minorHAnsi"/>
          <w:i/>
          <w:iCs/>
          <w:sz w:val="20"/>
          <w:szCs w:val="20"/>
        </w:rPr>
        <w:t>(1)</w:t>
      </w:r>
      <w:r>
        <w:rPr>
          <w:rFonts w:cstheme="minorHAnsi"/>
          <w:i/>
          <w:iCs/>
          <w:sz w:val="20"/>
          <w:szCs w:val="20"/>
        </w:rPr>
        <w:t xml:space="preserve">  </w:t>
      </w:r>
      <w:r w:rsidRPr="005D08A1">
        <w:rPr>
          <w:rFonts w:cstheme="minorHAnsi"/>
          <w:i/>
          <w:iCs/>
          <w:sz w:val="20"/>
          <w:szCs w:val="20"/>
        </w:rPr>
        <w:t xml:space="preserve"> </w:t>
      </w:r>
      <w:r w:rsidR="00F94592" w:rsidRPr="005D08A1">
        <w:rPr>
          <w:rFonts w:cstheme="minorHAnsi"/>
          <w:i/>
          <w:iCs/>
          <w:sz w:val="18"/>
          <w:szCs w:val="18"/>
        </w:rPr>
        <w:t>L’Ecole nationale supérieure de la Marine marchande est installée, depuis 2015, dans les quartiers sud du Havre.</w:t>
      </w:r>
      <w:r>
        <w:rPr>
          <w:rFonts w:cstheme="minorHAnsi"/>
          <w:i/>
          <w:iCs/>
          <w:sz w:val="18"/>
          <w:szCs w:val="18"/>
        </w:rPr>
        <w:t xml:space="preserve"> L’EPF s’est porté acquéreur auprès de l’Etat de l’ensemble immobilier, au titre de son droit de propriété, pour en assurer le portage foncier pour le compte de la ville de Sainte-Adresse.</w:t>
      </w:r>
    </w:p>
    <w:p w:rsidR="00F94592" w:rsidRPr="005D08A1" w:rsidRDefault="00F94592" w:rsidP="005D08A1">
      <w:pPr>
        <w:pStyle w:val="Paragraphedeliste"/>
        <w:numPr>
          <w:ilvl w:val="0"/>
          <w:numId w:val="10"/>
        </w:numPr>
        <w:spacing w:line="240" w:lineRule="auto"/>
        <w:rPr>
          <w:rFonts w:cstheme="minorHAnsi"/>
          <w:i/>
          <w:iCs/>
          <w:sz w:val="18"/>
          <w:szCs w:val="18"/>
        </w:rPr>
      </w:pPr>
      <w:r w:rsidRPr="005D08A1">
        <w:rPr>
          <w:rFonts w:cstheme="minorHAnsi"/>
          <w:i/>
          <w:iCs/>
          <w:sz w:val="18"/>
          <w:szCs w:val="18"/>
        </w:rPr>
        <w:t>Cette étude devrait se concrétiser, dans les deux ans à venir, dans un projet d’aménagement de cette partie de la ville.</w:t>
      </w:r>
    </w:p>
    <w:p w:rsidR="00B4680E" w:rsidRDefault="00D33B4D" w:rsidP="005D08A1">
      <w:pPr>
        <w:pStyle w:val="Paragraphedeliste"/>
        <w:numPr>
          <w:ilvl w:val="0"/>
          <w:numId w:val="9"/>
        </w:numPr>
        <w:spacing w:line="240" w:lineRule="auto"/>
        <w:rPr>
          <w:rFonts w:cstheme="minorHAnsi"/>
          <w:i/>
          <w:iCs/>
          <w:sz w:val="18"/>
          <w:szCs w:val="18"/>
        </w:rPr>
      </w:pPr>
      <w:r>
        <w:rPr>
          <w:noProof/>
          <w:lang w:eastAsia="fr-FR"/>
        </w:rPr>
        <mc:AlternateContent>
          <mc:Choice Requires="wps">
            <w:drawing>
              <wp:anchor distT="45720" distB="45720" distL="114300" distR="114300" simplePos="0" relativeHeight="251659264" behindDoc="0" locked="0" layoutInCell="1" allowOverlap="1" wp14:anchorId="60A0B3FD" wp14:editId="1025C881">
                <wp:simplePos x="0" y="0"/>
                <wp:positionH relativeFrom="column">
                  <wp:posOffset>-819150</wp:posOffset>
                </wp:positionH>
                <wp:positionV relativeFrom="page">
                  <wp:posOffset>9782810</wp:posOffset>
                </wp:positionV>
                <wp:extent cx="7543800" cy="922655"/>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922655"/>
                        </a:xfrm>
                        <a:prstGeom prst="rect">
                          <a:avLst/>
                        </a:prstGeom>
                        <a:solidFill>
                          <a:srgbClr val="FFFFFF"/>
                        </a:solidFill>
                        <a:ln w="9525">
                          <a:noFill/>
                          <a:miter lim="800000"/>
                          <a:headEnd/>
                          <a:tailEnd/>
                        </a:ln>
                      </wps:spPr>
                      <wps:txbx>
                        <w:txbxContent>
                          <w:p w:rsidR="00D33B4D" w:rsidRDefault="00D33B4D" w:rsidP="00D33B4D">
                            <w:pPr>
                              <w:rPr>
                                <w:rFonts w:ascii="Trebuchet MS" w:hAnsi="Trebuchet MS"/>
                                <w:color w:val="1F4E79" w:themeColor="accent1" w:themeShade="80"/>
                                <w:sz w:val="15"/>
                                <w:szCs w:val="15"/>
                              </w:rPr>
                            </w:pPr>
                            <w:r w:rsidRPr="008F5E59">
                              <w:rPr>
                                <w:rFonts w:ascii="Trebuchet MS" w:hAnsi="Trebuchet MS"/>
                                <w:color w:val="1F4E79" w:themeColor="accent1" w:themeShade="80"/>
                                <w:sz w:val="15"/>
                                <w:szCs w:val="15"/>
                                <w:u w:val="single"/>
                              </w:rPr>
                              <w:t>Siège de l’EPF</w:t>
                            </w:r>
                            <w:r w:rsidRPr="008F5E59">
                              <w:rPr>
                                <w:rFonts w:ascii="Trebuchet MS" w:hAnsi="Trebuchet MS"/>
                                <w:color w:val="1F4E79" w:themeColor="accent1" w:themeShade="80"/>
                                <w:sz w:val="15"/>
                                <w:szCs w:val="15"/>
                              </w:rPr>
                              <w:t xml:space="preserve"> : Carré Pasteur – 5 rue Montaigne – BP 1301 – 79178 ROUEN CEDEX 1   -   </w:t>
                            </w:r>
                            <w:r w:rsidRPr="008F5E59">
                              <w:rPr>
                                <w:rFonts w:ascii="Trebuchet MS" w:hAnsi="Trebuchet MS"/>
                                <w:color w:val="1F4E79" w:themeColor="accent1" w:themeShade="80"/>
                                <w:sz w:val="15"/>
                                <w:szCs w:val="15"/>
                                <w:u w:val="single"/>
                              </w:rPr>
                              <w:t>Antenne</w:t>
                            </w:r>
                            <w:r w:rsidRPr="008F5E59">
                              <w:rPr>
                                <w:rFonts w:ascii="Trebuchet MS" w:hAnsi="Trebuchet MS"/>
                                <w:color w:val="1F4E79" w:themeColor="accent1" w:themeShade="80"/>
                                <w:sz w:val="15"/>
                                <w:szCs w:val="15"/>
                              </w:rPr>
                              <w:t> : Immeuble Paseo – 12 rue Ferdinand Buisson – 14280 SAINT-CONTEST</w:t>
                            </w:r>
                          </w:p>
                          <w:p w:rsidR="00D33B4D" w:rsidRPr="008F5E59" w:rsidRDefault="00D33B4D" w:rsidP="00D33B4D">
                            <w:pPr>
                              <w:rPr>
                                <w:rFonts w:ascii="Trebuchet MS" w:hAnsi="Trebuchet MS"/>
                                <w:color w:val="1F4E79" w:themeColor="accent1" w:themeShade="80"/>
                                <w:sz w:val="15"/>
                                <w:szCs w:val="15"/>
                              </w:rPr>
                            </w:pPr>
                            <w:r>
                              <w:rPr>
                                <w:rFonts w:ascii="Trebuchet MS" w:hAnsi="Trebuchet MS"/>
                                <w:color w:val="1F4E79" w:themeColor="accent1" w:themeShade="80"/>
                                <w:sz w:val="15"/>
                                <w:szCs w:val="15"/>
                              </w:rPr>
                              <w:t>Tél : 02 35 63 77 00</w:t>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t xml:space="preserve">     Tél : 02 50 08 90 03</w:t>
                            </w:r>
                          </w:p>
                          <w:p w:rsidR="00D33B4D" w:rsidRPr="008F5E59" w:rsidRDefault="00D33B4D" w:rsidP="00D33B4D">
                            <w:pPr>
                              <w:jc w:val="center"/>
                              <w:rPr>
                                <w:rFonts w:ascii="Trebuchet MS" w:hAnsi="Trebuchet MS"/>
                                <w:color w:val="1F4E79" w:themeColor="accent1" w:themeShade="80"/>
                                <w:sz w:val="15"/>
                                <w:szCs w:val="15"/>
                              </w:rPr>
                            </w:pPr>
                            <w:r w:rsidRPr="004D082E">
                              <w:rPr>
                                <w:rFonts w:ascii="Trebuchet MS" w:hAnsi="Trebuchet MS"/>
                                <w:b/>
                                <w:color w:val="1F4E79" w:themeColor="accent1" w:themeShade="80"/>
                                <w:sz w:val="16"/>
                                <w:szCs w:val="16"/>
                              </w:rPr>
                              <w:t>www.epf-normandie.fr</w:t>
                            </w:r>
                            <w:r w:rsidRPr="008F5E59">
                              <w:rPr>
                                <w:rFonts w:ascii="Trebuchet MS" w:hAnsi="Trebuchet MS"/>
                                <w:color w:val="1F4E79" w:themeColor="accent1" w:themeShade="80"/>
                                <w:sz w:val="15"/>
                                <w:szCs w:val="15"/>
                              </w:rPr>
                              <w:t xml:space="preserve">   </w:t>
                            </w:r>
                            <w:r w:rsidRPr="008F5E59">
                              <w:rPr>
                                <w:rFonts w:ascii="Trebuchet MS" w:hAnsi="Trebuchet MS"/>
                                <w:noProof/>
                                <w:color w:val="1F4E79" w:themeColor="accent1" w:themeShade="80"/>
                                <w:sz w:val="15"/>
                                <w:szCs w:val="15"/>
                                <w:lang w:eastAsia="fr-FR"/>
                              </w:rPr>
                              <w:drawing>
                                <wp:inline distT="0" distB="0" distL="0" distR="0" wp14:anchorId="24BE7F03" wp14:editId="3B1B4B70">
                                  <wp:extent cx="194307" cy="168275"/>
                                  <wp:effectExtent l="0" t="0" r="0" b="3175"/>
                                  <wp:docPr id="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16"/>
                                          <a:stretch>
                                            <a:fillRect/>
                                          </a:stretch>
                                        </pic:blipFill>
                                        <pic:spPr>
                                          <a:xfrm>
                                            <a:off x="0" y="0"/>
                                            <a:ext cx="205934" cy="178344"/>
                                          </a:xfrm>
                                          <a:prstGeom prst="rect">
                                            <a:avLst/>
                                          </a:prstGeom>
                                        </pic:spPr>
                                      </pic:pic>
                                    </a:graphicData>
                                  </a:graphic>
                                </wp:inline>
                              </w:drawing>
                            </w:r>
                            <w:r w:rsidRPr="002D2E51">
                              <w:rPr>
                                <w:rFonts w:ascii="Trebuchet MS" w:hAnsi="Trebuchet MS"/>
                                <w:color w:val="1F4E79" w:themeColor="accent1" w:themeShade="80"/>
                                <w:sz w:val="15"/>
                                <w:szCs w:val="15"/>
                              </w:rPr>
                              <w:t>@EPFNormandie</w:t>
                            </w:r>
                          </w:p>
                          <w:p w:rsidR="00D33B4D" w:rsidRDefault="00D33B4D" w:rsidP="00D33B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A0B3FD" id="_x0000_s1027" type="#_x0000_t202" style="position:absolute;left:0;text-align:left;margin-left:-64.5pt;margin-top:770.3pt;width:594pt;height:72.6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" stroked="f">
                <v:textbox style="mso-fit-shape-to-text:t">
                  <w:txbxContent>
                    <w:p w:rsidR="00D33B4D" w:rsidRDefault="00D33B4D" w:rsidP="00D33B4D">
                      <w:pPr>
                        <w:rPr>
                          <w:rFonts w:ascii="Trebuchet MS" w:hAnsi="Trebuchet MS"/>
                          <w:color w:val="1F4E79" w:themeColor="accent1" w:themeShade="80"/>
                          <w:sz w:val="15"/>
                          <w:szCs w:val="15"/>
                        </w:rPr>
                      </w:pPr>
                      <w:r w:rsidRPr="008F5E59">
                        <w:rPr>
                          <w:rFonts w:ascii="Trebuchet MS" w:hAnsi="Trebuchet MS"/>
                          <w:color w:val="1F4E79" w:themeColor="accent1" w:themeShade="80"/>
                          <w:sz w:val="15"/>
                          <w:szCs w:val="15"/>
                          <w:u w:val="single"/>
                        </w:rPr>
                        <w:t>Siège de l’EPF</w:t>
                      </w:r>
                      <w:r w:rsidRPr="008F5E59">
                        <w:rPr>
                          <w:rFonts w:ascii="Trebuchet MS" w:hAnsi="Trebuchet MS"/>
                          <w:color w:val="1F4E79" w:themeColor="accent1" w:themeShade="80"/>
                          <w:sz w:val="15"/>
                          <w:szCs w:val="15"/>
                        </w:rPr>
                        <w:t xml:space="preserve"> : Carré Pasteur – 5 rue Montaigne – BP 1301 – 79178 ROUEN CEDEX 1   -   </w:t>
                      </w:r>
                      <w:r w:rsidRPr="008F5E59">
                        <w:rPr>
                          <w:rFonts w:ascii="Trebuchet MS" w:hAnsi="Trebuchet MS"/>
                          <w:color w:val="1F4E79" w:themeColor="accent1" w:themeShade="80"/>
                          <w:sz w:val="15"/>
                          <w:szCs w:val="15"/>
                          <w:u w:val="single"/>
                        </w:rPr>
                        <w:t>Antenne</w:t>
                      </w:r>
                      <w:r w:rsidRPr="008F5E59">
                        <w:rPr>
                          <w:rFonts w:ascii="Trebuchet MS" w:hAnsi="Trebuchet MS"/>
                          <w:color w:val="1F4E79" w:themeColor="accent1" w:themeShade="80"/>
                          <w:sz w:val="15"/>
                          <w:szCs w:val="15"/>
                        </w:rPr>
                        <w:t> : Immeuble Paseo – 12 rue Ferdinand Buisson – 14280 SAINT-CONTEST</w:t>
                      </w:r>
                    </w:p>
                    <w:p w:rsidR="00D33B4D" w:rsidRPr="008F5E59" w:rsidRDefault="00D33B4D" w:rsidP="00D33B4D">
                      <w:pPr>
                        <w:rPr>
                          <w:rFonts w:ascii="Trebuchet MS" w:hAnsi="Trebuchet MS"/>
                          <w:color w:val="1F4E79" w:themeColor="accent1" w:themeShade="80"/>
                          <w:sz w:val="15"/>
                          <w:szCs w:val="15"/>
                        </w:rPr>
                      </w:pPr>
                      <w:r>
                        <w:rPr>
                          <w:rFonts w:ascii="Trebuchet MS" w:hAnsi="Trebuchet MS"/>
                          <w:color w:val="1F4E79" w:themeColor="accent1" w:themeShade="80"/>
                          <w:sz w:val="15"/>
                          <w:szCs w:val="15"/>
                        </w:rPr>
                        <w:t>Tél : 02 35 63 77 00</w:t>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r>
                      <w:r>
                        <w:rPr>
                          <w:rFonts w:ascii="Trebuchet MS" w:hAnsi="Trebuchet MS"/>
                          <w:color w:val="1F4E79" w:themeColor="accent1" w:themeShade="80"/>
                          <w:sz w:val="15"/>
                          <w:szCs w:val="15"/>
                        </w:rPr>
                        <w:tab/>
                        <w:t xml:space="preserve">     Tél : 02 50 08 90 03</w:t>
                      </w:r>
                    </w:p>
                    <w:p w:rsidR="00D33B4D" w:rsidRPr="008F5E59" w:rsidRDefault="00D33B4D" w:rsidP="00D33B4D">
                      <w:pPr>
                        <w:jc w:val="center"/>
                        <w:rPr>
                          <w:rFonts w:ascii="Trebuchet MS" w:hAnsi="Trebuchet MS"/>
                          <w:color w:val="1F4E79" w:themeColor="accent1" w:themeShade="80"/>
                          <w:sz w:val="15"/>
                          <w:szCs w:val="15"/>
                        </w:rPr>
                      </w:pPr>
                      <w:r w:rsidRPr="004D082E">
                        <w:rPr>
                          <w:rFonts w:ascii="Trebuchet MS" w:hAnsi="Trebuchet MS"/>
                          <w:b/>
                          <w:color w:val="1F4E79" w:themeColor="accent1" w:themeShade="80"/>
                          <w:sz w:val="16"/>
                          <w:szCs w:val="16"/>
                        </w:rPr>
                        <w:t>www.epf-normandie.fr</w:t>
                      </w:r>
                      <w:r w:rsidRPr="008F5E59">
                        <w:rPr>
                          <w:rFonts w:ascii="Trebuchet MS" w:hAnsi="Trebuchet MS"/>
                          <w:color w:val="1F4E79" w:themeColor="accent1" w:themeShade="80"/>
                          <w:sz w:val="15"/>
                          <w:szCs w:val="15"/>
                        </w:rPr>
                        <w:t xml:space="preserve">   </w:t>
                      </w:r>
                      <w:r w:rsidRPr="008F5E59">
                        <w:rPr>
                          <w:rFonts w:ascii="Trebuchet MS" w:hAnsi="Trebuchet MS"/>
                          <w:noProof/>
                          <w:color w:val="1F4E79" w:themeColor="accent1" w:themeShade="80"/>
                          <w:sz w:val="15"/>
                          <w:szCs w:val="15"/>
                          <w:lang w:eastAsia="fr-FR"/>
                        </w:rPr>
                        <w:drawing>
                          <wp:inline distT="0" distB="0" distL="0" distR="0" wp14:anchorId="24BE7F03" wp14:editId="3B1B4B70">
                            <wp:extent cx="194307" cy="168275"/>
                            <wp:effectExtent l="0" t="0" r="0" b="3175"/>
                            <wp:docPr id="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3"/>
                                    <pic:cNvPicPr>
                                      <a:picLocks noChangeAspect="1"/>
                                    </pic:cNvPicPr>
                                  </pic:nvPicPr>
                                  <pic:blipFill>
                                    <a:blip r:embed="rId16"/>
                                    <a:stretch>
                                      <a:fillRect/>
                                    </a:stretch>
                                  </pic:blipFill>
                                  <pic:spPr>
                                    <a:xfrm>
                                      <a:off x="0" y="0"/>
                                      <a:ext cx="205934" cy="178344"/>
                                    </a:xfrm>
                                    <a:prstGeom prst="rect">
                                      <a:avLst/>
                                    </a:prstGeom>
                                  </pic:spPr>
                                </pic:pic>
                              </a:graphicData>
                            </a:graphic>
                          </wp:inline>
                        </w:drawing>
                      </w:r>
                      <w:r w:rsidRPr="002D2E51">
                        <w:rPr>
                          <w:rFonts w:ascii="Trebuchet MS" w:hAnsi="Trebuchet MS"/>
                          <w:color w:val="1F4E79" w:themeColor="accent1" w:themeShade="80"/>
                          <w:sz w:val="15"/>
                          <w:szCs w:val="15"/>
                        </w:rPr>
                        <w:t>@EPFNormandie</w:t>
                      </w:r>
                    </w:p>
                    <w:p w:rsidR="00D33B4D" w:rsidRDefault="00D33B4D" w:rsidP="00D33B4D"/>
                  </w:txbxContent>
                </v:textbox>
                <w10:wrap type="square" anchory="page"/>
              </v:shape>
            </w:pict>
          </mc:Fallback>
        </mc:AlternateContent>
      </w:r>
      <w:r w:rsidR="00B4680E" w:rsidRPr="005D08A1">
        <w:rPr>
          <w:rFonts w:cstheme="minorHAnsi"/>
          <w:i/>
          <w:iCs/>
          <w:sz w:val="18"/>
          <w:szCs w:val="18"/>
        </w:rPr>
        <w:t>C’est en 1991 que le conseil d’administration donne son feu vert pour lancer une démarche d’intervention sur les friches industrielles. Dès lors, le Fonds friches connaîtra une montée en puissance ininterrompue.</w:t>
      </w:r>
    </w:p>
    <w:p w:rsidR="00D33B4D" w:rsidRDefault="00D33B4D" w:rsidP="00D33B4D">
      <w:pPr>
        <w:spacing w:line="240" w:lineRule="auto"/>
        <w:rPr>
          <w:rFonts w:cstheme="minorHAnsi"/>
          <w:i/>
          <w:iCs/>
          <w:sz w:val="18"/>
          <w:szCs w:val="18"/>
        </w:rPr>
      </w:pPr>
    </w:p>
    <w:p w:rsidR="00D33B4D" w:rsidRDefault="00D33B4D" w:rsidP="00D33B4D">
      <w:pPr>
        <w:spacing w:line="240" w:lineRule="auto"/>
        <w:rPr>
          <w:rFonts w:cstheme="minorHAnsi"/>
          <w:i/>
          <w:iCs/>
          <w:sz w:val="18"/>
          <w:szCs w:val="18"/>
        </w:rPr>
      </w:pPr>
    </w:p>
    <w:p w:rsidR="00D33B4D" w:rsidRDefault="00D33B4D" w:rsidP="00D33B4D">
      <w:pPr>
        <w:spacing w:line="240" w:lineRule="auto"/>
        <w:rPr>
          <w:rFonts w:cstheme="minorHAnsi"/>
          <w:i/>
          <w:iCs/>
          <w:sz w:val="18"/>
          <w:szCs w:val="18"/>
        </w:rPr>
      </w:pPr>
    </w:p>
    <w:p w:rsidR="00D33B4D" w:rsidRDefault="00D33B4D" w:rsidP="00D33B4D">
      <w:pPr>
        <w:spacing w:line="240" w:lineRule="auto"/>
        <w:rPr>
          <w:rFonts w:cstheme="minorHAnsi"/>
          <w:i/>
          <w:iCs/>
          <w:sz w:val="18"/>
          <w:szCs w:val="18"/>
        </w:rPr>
      </w:pPr>
    </w:p>
    <w:p w:rsidR="00D33B4D" w:rsidRDefault="00D33B4D" w:rsidP="00D33B4D">
      <w:pPr>
        <w:spacing w:line="240" w:lineRule="auto"/>
        <w:rPr>
          <w:rFonts w:cstheme="minorHAnsi"/>
          <w:i/>
          <w:iCs/>
          <w:sz w:val="18"/>
          <w:szCs w:val="18"/>
        </w:rPr>
      </w:pPr>
    </w:p>
    <w:p w:rsidR="00D33B4D" w:rsidRDefault="00D33B4D" w:rsidP="00D33B4D">
      <w:pPr>
        <w:spacing w:line="240" w:lineRule="auto"/>
        <w:rPr>
          <w:rFonts w:cstheme="minorHAnsi"/>
          <w:i/>
          <w:iCs/>
          <w:sz w:val="18"/>
          <w:szCs w:val="18"/>
        </w:rPr>
      </w:pPr>
    </w:p>
    <w:p w:rsidR="00D33B4D" w:rsidRDefault="00D33B4D" w:rsidP="00D33B4D">
      <w:pPr>
        <w:spacing w:line="240" w:lineRule="auto"/>
        <w:rPr>
          <w:rFonts w:cstheme="minorHAnsi"/>
          <w:i/>
          <w:iCs/>
          <w:sz w:val="18"/>
          <w:szCs w:val="18"/>
        </w:rPr>
      </w:pPr>
    </w:p>
    <w:p w:rsidR="00D33B4D" w:rsidRDefault="00D33B4D" w:rsidP="00D33B4D">
      <w:pPr>
        <w:spacing w:line="240" w:lineRule="auto"/>
        <w:rPr>
          <w:rFonts w:cstheme="minorHAnsi"/>
          <w:i/>
          <w:iCs/>
          <w:sz w:val="18"/>
          <w:szCs w:val="18"/>
        </w:rPr>
      </w:pPr>
    </w:p>
    <w:p w:rsidR="00D33B4D" w:rsidRDefault="00D33B4D" w:rsidP="00D33B4D">
      <w:pPr>
        <w:spacing w:line="240" w:lineRule="auto"/>
        <w:rPr>
          <w:rFonts w:cstheme="minorHAnsi"/>
          <w:i/>
          <w:iCs/>
          <w:sz w:val="18"/>
          <w:szCs w:val="18"/>
        </w:rPr>
      </w:pPr>
    </w:p>
    <w:p w:rsidR="00A61B84" w:rsidRDefault="00A61B84" w:rsidP="00D33B4D">
      <w:pPr>
        <w:spacing w:line="240" w:lineRule="auto"/>
        <w:rPr>
          <w:rFonts w:cstheme="minorHAnsi"/>
          <w:i/>
          <w:iCs/>
          <w:sz w:val="18"/>
          <w:szCs w:val="18"/>
        </w:rPr>
      </w:pPr>
    </w:p>
    <w:p w:rsidR="00A61B84" w:rsidRDefault="00A61B84" w:rsidP="00D33B4D">
      <w:pPr>
        <w:spacing w:line="240" w:lineRule="auto"/>
        <w:rPr>
          <w:rFonts w:cstheme="minorHAnsi"/>
          <w:i/>
          <w:iCs/>
          <w:sz w:val="18"/>
          <w:szCs w:val="18"/>
        </w:rPr>
      </w:pPr>
    </w:p>
    <w:p w:rsidR="00A61B84" w:rsidRDefault="00A61B84" w:rsidP="00D33B4D">
      <w:pPr>
        <w:spacing w:line="240" w:lineRule="auto"/>
        <w:rPr>
          <w:rFonts w:cstheme="minorHAnsi"/>
          <w:i/>
          <w:iCs/>
          <w:sz w:val="18"/>
          <w:szCs w:val="18"/>
        </w:rPr>
      </w:pPr>
    </w:p>
    <w:p w:rsidR="00A61B84" w:rsidRDefault="00A61B84" w:rsidP="00D33B4D">
      <w:pPr>
        <w:spacing w:line="240" w:lineRule="auto"/>
        <w:rPr>
          <w:rFonts w:cstheme="minorHAnsi"/>
          <w:i/>
          <w:iCs/>
          <w:sz w:val="18"/>
          <w:szCs w:val="18"/>
        </w:rPr>
      </w:pPr>
    </w:p>
    <w:p w:rsidR="00D33B4D" w:rsidRDefault="00D33B4D" w:rsidP="00D33B4D">
      <w:pPr>
        <w:rPr>
          <w:b/>
          <w:bCs/>
        </w:rPr>
      </w:pPr>
      <w:r w:rsidRPr="00142C57">
        <w:rPr>
          <w:b/>
          <w:bCs/>
        </w:rPr>
        <w:t>Contact</w:t>
      </w:r>
    </w:p>
    <w:p w:rsidR="00D33B4D" w:rsidRDefault="00D33B4D" w:rsidP="00D33B4D">
      <w:r w:rsidRPr="00646512">
        <w:t xml:space="preserve">M. </w:t>
      </w:r>
      <w:r>
        <w:t>Elie BOURDON</w:t>
      </w:r>
      <w:r w:rsidRPr="00646512">
        <w:t xml:space="preserve"> – </w:t>
      </w:r>
      <w:r>
        <w:t>06 32 16 08 22 – e.bourdon@epf-normandie.fr</w:t>
      </w:r>
      <w:r w:rsidRPr="00646512">
        <w:t xml:space="preserve"> </w:t>
      </w:r>
    </w:p>
    <w:p w:rsidR="00A61B84" w:rsidRPr="00F749E3" w:rsidRDefault="00A61B84" w:rsidP="00D33B4D">
      <w:pPr>
        <w:rPr>
          <w:lang w:val="en-US"/>
        </w:rPr>
      </w:pPr>
      <w:r w:rsidRPr="00F749E3">
        <w:rPr>
          <w:lang w:val="en-US"/>
        </w:rPr>
        <w:t xml:space="preserve">M. Cédric BOUR </w:t>
      </w:r>
      <w:r w:rsidR="00F749E3" w:rsidRPr="00F749E3">
        <w:rPr>
          <w:lang w:val="en-US"/>
        </w:rPr>
        <w:t>–</w:t>
      </w:r>
      <w:r w:rsidRPr="00F749E3">
        <w:rPr>
          <w:lang w:val="en-US"/>
        </w:rPr>
        <w:t xml:space="preserve"> </w:t>
      </w:r>
      <w:r w:rsidR="00F749E3" w:rsidRPr="00F749E3">
        <w:rPr>
          <w:lang w:val="en-US"/>
        </w:rPr>
        <w:t>07 85 94 05 00 – c.</w:t>
      </w:r>
      <w:r w:rsidR="00F749E3">
        <w:rPr>
          <w:lang w:val="en-US"/>
        </w:rPr>
        <w:t>bour@epf-normandie.fr</w:t>
      </w:r>
    </w:p>
    <w:p w:rsidR="00D33B4D" w:rsidRPr="00F749E3" w:rsidRDefault="00D33B4D" w:rsidP="00D33B4D">
      <w:pPr>
        <w:spacing w:line="240" w:lineRule="auto"/>
        <w:rPr>
          <w:rFonts w:cstheme="minorHAnsi"/>
          <w:i/>
          <w:iCs/>
          <w:sz w:val="18"/>
          <w:szCs w:val="18"/>
          <w:lang w:val="en-US"/>
        </w:rPr>
      </w:pPr>
    </w:p>
    <w:sectPr w:rsidR="00D33B4D" w:rsidRPr="00F749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55" w:rsidRDefault="00156255" w:rsidP="008134C6">
      <w:pPr>
        <w:spacing w:after="0" w:line="240" w:lineRule="auto"/>
      </w:pPr>
      <w:r>
        <w:separator/>
      </w:r>
    </w:p>
  </w:endnote>
  <w:endnote w:type="continuationSeparator" w:id="0">
    <w:p w:rsidR="00156255" w:rsidRDefault="00156255" w:rsidP="0081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55" w:rsidRDefault="00156255" w:rsidP="008134C6">
      <w:pPr>
        <w:spacing w:after="0" w:line="240" w:lineRule="auto"/>
      </w:pPr>
      <w:r>
        <w:separator/>
      </w:r>
    </w:p>
  </w:footnote>
  <w:footnote w:type="continuationSeparator" w:id="0">
    <w:p w:rsidR="00156255" w:rsidRDefault="00156255" w:rsidP="008134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068F"/>
    <w:multiLevelType w:val="hybridMultilevel"/>
    <w:tmpl w:val="381E4170"/>
    <w:lvl w:ilvl="0" w:tplc="2FECEDD2">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70603E"/>
    <w:multiLevelType w:val="hybridMultilevel"/>
    <w:tmpl w:val="A5A402A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nsid w:val="2BA22AA8"/>
    <w:multiLevelType w:val="hybridMultilevel"/>
    <w:tmpl w:val="3F169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612882"/>
    <w:multiLevelType w:val="hybridMultilevel"/>
    <w:tmpl w:val="DC902348"/>
    <w:lvl w:ilvl="0" w:tplc="040C000F">
      <w:start w:val="1"/>
      <w:numFmt w:val="decimal"/>
      <w:lvlText w:val="%1."/>
      <w:lvlJc w:val="left"/>
      <w:pPr>
        <w:ind w:left="720" w:hanging="360"/>
      </w:pPr>
      <w:rPr>
        <w:rFonts w:hint="default"/>
      </w:rPr>
    </w:lvl>
    <w:lvl w:ilvl="1" w:tplc="CDCCAD78">
      <w:numFmt w:val="bullet"/>
      <w:lvlText w:val="▪"/>
      <w:lvlJc w:val="left"/>
      <w:pPr>
        <w:ind w:left="1440" w:hanging="360"/>
      </w:pPr>
      <w:rPr>
        <w:rFonts w:ascii="Calibri" w:eastAsia="Arial Unicode MS"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B5169D"/>
    <w:multiLevelType w:val="hybridMultilevel"/>
    <w:tmpl w:val="F55A1D0A"/>
    <w:lvl w:ilvl="0" w:tplc="16924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CB0455D"/>
    <w:multiLevelType w:val="hybridMultilevel"/>
    <w:tmpl w:val="89E0D1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7A2208"/>
    <w:multiLevelType w:val="hybridMultilevel"/>
    <w:tmpl w:val="876A5DCA"/>
    <w:lvl w:ilvl="0" w:tplc="771E598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CA4993"/>
    <w:multiLevelType w:val="hybridMultilevel"/>
    <w:tmpl w:val="4CE8B7C0"/>
    <w:lvl w:ilvl="0" w:tplc="9DA8A87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9E67459"/>
    <w:multiLevelType w:val="hybridMultilevel"/>
    <w:tmpl w:val="99861A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0E97CCB"/>
    <w:multiLevelType w:val="hybridMultilevel"/>
    <w:tmpl w:val="CDE8EA68"/>
    <w:lvl w:ilvl="0" w:tplc="D2CA212C">
      <w:start w:val="6"/>
      <w:numFmt w:val="bullet"/>
      <w:lvlText w:val="-"/>
      <w:lvlJc w:val="left"/>
      <w:pPr>
        <w:ind w:left="720" w:hanging="360"/>
      </w:pPr>
      <w:rPr>
        <w:rFonts w:ascii="Calibri" w:eastAsia="Arial Unicode MS" w:hAnsi="Calibri" w:cs="Calibri" w:hint="default"/>
      </w:rPr>
    </w:lvl>
    <w:lvl w:ilvl="1" w:tplc="CDCCAD78">
      <w:numFmt w:val="bullet"/>
      <w:lvlText w:val="▪"/>
      <w:lvlJc w:val="left"/>
      <w:pPr>
        <w:ind w:left="1440" w:hanging="360"/>
      </w:pPr>
      <w:rPr>
        <w:rFonts w:ascii="Calibri" w:eastAsia="Arial Unicode MS"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3"/>
  </w:num>
  <w:num w:numId="5">
    <w:abstractNumId w:val="0"/>
  </w:num>
  <w:num w:numId="6">
    <w:abstractNumId w:val="5"/>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C6"/>
    <w:rsid w:val="0002588E"/>
    <w:rsid w:val="0007500A"/>
    <w:rsid w:val="00082071"/>
    <w:rsid w:val="00090F9E"/>
    <w:rsid w:val="000A2E21"/>
    <w:rsid w:val="000B6057"/>
    <w:rsid w:val="000C6F0D"/>
    <w:rsid w:val="000D7364"/>
    <w:rsid w:val="000D79F7"/>
    <w:rsid w:val="001012CB"/>
    <w:rsid w:val="00115574"/>
    <w:rsid w:val="001357DD"/>
    <w:rsid w:val="00156255"/>
    <w:rsid w:val="0016688C"/>
    <w:rsid w:val="00176F64"/>
    <w:rsid w:val="001B4893"/>
    <w:rsid w:val="001C1364"/>
    <w:rsid w:val="001C2EFE"/>
    <w:rsid w:val="001C5D8D"/>
    <w:rsid w:val="001D230B"/>
    <w:rsid w:val="001F26C4"/>
    <w:rsid w:val="002134ED"/>
    <w:rsid w:val="0022448C"/>
    <w:rsid w:val="0023362C"/>
    <w:rsid w:val="002473A4"/>
    <w:rsid w:val="002C1269"/>
    <w:rsid w:val="002C18F2"/>
    <w:rsid w:val="002D1E82"/>
    <w:rsid w:val="002D1EA9"/>
    <w:rsid w:val="002D6BBB"/>
    <w:rsid w:val="002F3FEF"/>
    <w:rsid w:val="002F4890"/>
    <w:rsid w:val="00321F9F"/>
    <w:rsid w:val="003A2C0F"/>
    <w:rsid w:val="003A2DB3"/>
    <w:rsid w:val="003A5707"/>
    <w:rsid w:val="003D418A"/>
    <w:rsid w:val="00413E92"/>
    <w:rsid w:val="0041702D"/>
    <w:rsid w:val="004716DC"/>
    <w:rsid w:val="0048448D"/>
    <w:rsid w:val="00490972"/>
    <w:rsid w:val="004C3905"/>
    <w:rsid w:val="004E1209"/>
    <w:rsid w:val="005174F3"/>
    <w:rsid w:val="00541E2C"/>
    <w:rsid w:val="0055121E"/>
    <w:rsid w:val="0056658A"/>
    <w:rsid w:val="00566852"/>
    <w:rsid w:val="005855AE"/>
    <w:rsid w:val="005924E3"/>
    <w:rsid w:val="005A6F72"/>
    <w:rsid w:val="005B2AC3"/>
    <w:rsid w:val="005D08A1"/>
    <w:rsid w:val="00602031"/>
    <w:rsid w:val="00624E74"/>
    <w:rsid w:val="00631CE3"/>
    <w:rsid w:val="00665A0D"/>
    <w:rsid w:val="0067121D"/>
    <w:rsid w:val="0067426D"/>
    <w:rsid w:val="006D296C"/>
    <w:rsid w:val="006D6724"/>
    <w:rsid w:val="006F0E89"/>
    <w:rsid w:val="00737DC1"/>
    <w:rsid w:val="00744112"/>
    <w:rsid w:val="00760E20"/>
    <w:rsid w:val="00760E90"/>
    <w:rsid w:val="0077413E"/>
    <w:rsid w:val="00784DA7"/>
    <w:rsid w:val="0078653D"/>
    <w:rsid w:val="007C4593"/>
    <w:rsid w:val="007C589F"/>
    <w:rsid w:val="0080084A"/>
    <w:rsid w:val="008134C6"/>
    <w:rsid w:val="00863BDB"/>
    <w:rsid w:val="008B75D1"/>
    <w:rsid w:val="008D6934"/>
    <w:rsid w:val="008E55DF"/>
    <w:rsid w:val="00950128"/>
    <w:rsid w:val="00985EA6"/>
    <w:rsid w:val="009D0903"/>
    <w:rsid w:val="00A3798C"/>
    <w:rsid w:val="00A61B84"/>
    <w:rsid w:val="00A86BF7"/>
    <w:rsid w:val="00A87434"/>
    <w:rsid w:val="00A9748E"/>
    <w:rsid w:val="00AB5635"/>
    <w:rsid w:val="00AF1441"/>
    <w:rsid w:val="00AF70B5"/>
    <w:rsid w:val="00B24A0B"/>
    <w:rsid w:val="00B27C39"/>
    <w:rsid w:val="00B41008"/>
    <w:rsid w:val="00B4680E"/>
    <w:rsid w:val="00B55DDD"/>
    <w:rsid w:val="00B67D1C"/>
    <w:rsid w:val="00B758C8"/>
    <w:rsid w:val="00B777CF"/>
    <w:rsid w:val="00B90396"/>
    <w:rsid w:val="00BA5FF9"/>
    <w:rsid w:val="00BA74FA"/>
    <w:rsid w:val="00BB3435"/>
    <w:rsid w:val="00BC564B"/>
    <w:rsid w:val="00BD1D05"/>
    <w:rsid w:val="00BD6AF6"/>
    <w:rsid w:val="00BE156E"/>
    <w:rsid w:val="00C15AB2"/>
    <w:rsid w:val="00C77288"/>
    <w:rsid w:val="00CB2FA6"/>
    <w:rsid w:val="00CD6EFB"/>
    <w:rsid w:val="00CD784C"/>
    <w:rsid w:val="00D00D9A"/>
    <w:rsid w:val="00D33B4D"/>
    <w:rsid w:val="00D33C30"/>
    <w:rsid w:val="00D84D84"/>
    <w:rsid w:val="00DE1651"/>
    <w:rsid w:val="00DF3344"/>
    <w:rsid w:val="00E00662"/>
    <w:rsid w:val="00E01D11"/>
    <w:rsid w:val="00E432A2"/>
    <w:rsid w:val="00E67D5E"/>
    <w:rsid w:val="00E72B44"/>
    <w:rsid w:val="00E90076"/>
    <w:rsid w:val="00EA69F4"/>
    <w:rsid w:val="00EF1487"/>
    <w:rsid w:val="00F00C82"/>
    <w:rsid w:val="00F20CBB"/>
    <w:rsid w:val="00F47EEE"/>
    <w:rsid w:val="00F72FE1"/>
    <w:rsid w:val="00F749E3"/>
    <w:rsid w:val="00F94592"/>
    <w:rsid w:val="00FF24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92493-14DA-4971-9625-48140F7A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D1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34C6"/>
    <w:pPr>
      <w:tabs>
        <w:tab w:val="center" w:pos="4536"/>
        <w:tab w:val="right" w:pos="9072"/>
      </w:tabs>
      <w:spacing w:after="0" w:line="240" w:lineRule="auto"/>
    </w:pPr>
  </w:style>
  <w:style w:type="character" w:customStyle="1" w:styleId="En-tteCar">
    <w:name w:val="En-tête Car"/>
    <w:basedOn w:val="Policepardfaut"/>
    <w:link w:val="En-tte"/>
    <w:uiPriority w:val="99"/>
    <w:rsid w:val="008134C6"/>
  </w:style>
  <w:style w:type="paragraph" w:styleId="Pieddepage">
    <w:name w:val="footer"/>
    <w:basedOn w:val="Normal"/>
    <w:link w:val="PieddepageCar"/>
    <w:uiPriority w:val="99"/>
    <w:unhideWhenUsed/>
    <w:rsid w:val="008134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34C6"/>
  </w:style>
  <w:style w:type="paragraph" w:styleId="Textedebulles">
    <w:name w:val="Balloon Text"/>
    <w:basedOn w:val="Normal"/>
    <w:link w:val="TextedebullesCar"/>
    <w:uiPriority w:val="99"/>
    <w:semiHidden/>
    <w:unhideWhenUsed/>
    <w:rsid w:val="00D00D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0D9A"/>
    <w:rPr>
      <w:rFonts w:ascii="Segoe UI" w:hAnsi="Segoe UI" w:cs="Segoe UI"/>
      <w:sz w:val="18"/>
      <w:szCs w:val="18"/>
    </w:rPr>
  </w:style>
  <w:style w:type="character" w:customStyle="1" w:styleId="Titre1Car">
    <w:name w:val="Titre 1 Car"/>
    <w:basedOn w:val="Policepardfaut"/>
    <w:link w:val="Titre1"/>
    <w:uiPriority w:val="9"/>
    <w:rsid w:val="002D1EA9"/>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rsid w:val="002D1EA9"/>
    <w:pPr>
      <w:suppressAutoHyphens/>
      <w:spacing w:before="100" w:after="119" w:line="240" w:lineRule="auto"/>
    </w:pPr>
    <w:rPr>
      <w:rFonts w:ascii="Arial Unicode MS" w:eastAsia="Arial Unicode MS" w:hAnsi="Arial Unicode MS" w:cs="Arial Unicode MS"/>
      <w:sz w:val="24"/>
      <w:szCs w:val="24"/>
      <w:lang w:eastAsia="ar-SA"/>
    </w:rPr>
  </w:style>
  <w:style w:type="paragraph" w:styleId="Notedebasdepage">
    <w:name w:val="footnote text"/>
    <w:basedOn w:val="Normal"/>
    <w:link w:val="NotedebasdepageCar"/>
    <w:uiPriority w:val="99"/>
    <w:semiHidden/>
    <w:unhideWhenUsed/>
    <w:rsid w:val="002D1EA9"/>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uiPriority w:val="99"/>
    <w:semiHidden/>
    <w:rsid w:val="002D1EA9"/>
    <w:rPr>
      <w:rFonts w:ascii="Times New Roman" w:eastAsia="Times New Roman" w:hAnsi="Times New Roman" w:cs="Times New Roman"/>
      <w:sz w:val="20"/>
      <w:szCs w:val="20"/>
      <w:lang w:eastAsia="ar-SA"/>
    </w:rPr>
  </w:style>
  <w:style w:type="character" w:styleId="Appelnotedebasdep">
    <w:name w:val="footnote reference"/>
    <w:uiPriority w:val="99"/>
    <w:semiHidden/>
    <w:unhideWhenUsed/>
    <w:rsid w:val="002D1EA9"/>
    <w:rPr>
      <w:vertAlign w:val="superscript"/>
    </w:rPr>
  </w:style>
  <w:style w:type="character" w:customStyle="1" w:styleId="st">
    <w:name w:val="st"/>
    <w:basedOn w:val="Policepardfaut"/>
    <w:rsid w:val="002D1EA9"/>
  </w:style>
  <w:style w:type="character" w:customStyle="1" w:styleId="WW8Num2z0">
    <w:name w:val="WW8Num2z0"/>
    <w:rsid w:val="002D1EA9"/>
    <w:rPr>
      <w:rFonts w:ascii="Symbol" w:hAnsi="Symbol" w:cs="OpenSymbol"/>
    </w:rPr>
  </w:style>
  <w:style w:type="paragraph" w:styleId="Paragraphedeliste">
    <w:name w:val="List Paragraph"/>
    <w:basedOn w:val="Normal"/>
    <w:uiPriority w:val="34"/>
    <w:qFormat/>
    <w:rsid w:val="007C4593"/>
    <w:pPr>
      <w:ind w:left="720"/>
      <w:contextualSpacing/>
    </w:pPr>
  </w:style>
  <w:style w:type="table" w:styleId="Grilledutableau">
    <w:name w:val="Table Grid"/>
    <w:basedOn w:val="TableauNormal"/>
    <w:uiPriority w:val="39"/>
    <w:rsid w:val="007C4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Grille1Clair-Accentuation1">
    <w:name w:val="Grid Table 1 Light Accent 1"/>
    <w:basedOn w:val="TableauNormal"/>
    <w:uiPriority w:val="46"/>
    <w:rsid w:val="007C459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2-Accentuation1">
    <w:name w:val="Grid Table 2 Accent 1"/>
    <w:basedOn w:val="TableauNormal"/>
    <w:uiPriority w:val="47"/>
    <w:rsid w:val="007C4593"/>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5Fonc-Accentuation1">
    <w:name w:val="Grid Table 5 Dark Accent 1"/>
    <w:basedOn w:val="TableauNormal"/>
    <w:uiPriority w:val="50"/>
    <w:rsid w:val="007C459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Normalcentr1">
    <w:name w:val="Normal centré1"/>
    <w:basedOn w:val="Normal"/>
    <w:rsid w:val="00E67D5E"/>
    <w:pPr>
      <w:tabs>
        <w:tab w:val="left" w:pos="1134"/>
        <w:tab w:val="left" w:pos="4820"/>
        <w:tab w:val="left" w:pos="8505"/>
      </w:tabs>
      <w:suppressAutoHyphens/>
      <w:overflowPunct w:val="0"/>
      <w:autoSpaceDE w:val="0"/>
      <w:spacing w:after="360" w:line="300" w:lineRule="atLeast"/>
      <w:ind w:left="425" w:right="425"/>
      <w:jc w:val="both"/>
      <w:textAlignment w:val="baseline"/>
    </w:pPr>
    <w:rPr>
      <w:rFonts w:ascii="Arial" w:eastAsia="Times New Roman" w:hAnsi="Arial" w:cs="Courier"/>
      <w:sz w:val="20"/>
      <w:szCs w:val="20"/>
      <w:lang w:eastAsia="ar-SA"/>
    </w:rPr>
  </w:style>
  <w:style w:type="character" w:styleId="Lienhypertexte">
    <w:name w:val="Hyperlink"/>
    <w:basedOn w:val="Policepardfaut"/>
    <w:uiPriority w:val="99"/>
    <w:unhideWhenUsed/>
    <w:rsid w:val="00B55D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44197">
      <w:bodyDiv w:val="1"/>
      <w:marLeft w:val="0"/>
      <w:marRight w:val="0"/>
      <w:marTop w:val="0"/>
      <w:marBottom w:val="0"/>
      <w:divBdr>
        <w:top w:val="none" w:sz="0" w:space="0" w:color="auto"/>
        <w:left w:val="none" w:sz="0" w:space="0" w:color="auto"/>
        <w:bottom w:val="none" w:sz="0" w:space="0" w:color="auto"/>
        <w:right w:val="none" w:sz="0" w:space="0" w:color="auto"/>
      </w:divBdr>
      <w:divsChild>
        <w:div w:id="641228165">
          <w:marLeft w:val="0"/>
          <w:marRight w:val="0"/>
          <w:marTop w:val="0"/>
          <w:marBottom w:val="0"/>
          <w:divBdr>
            <w:top w:val="none" w:sz="0" w:space="0" w:color="auto"/>
            <w:left w:val="none" w:sz="0" w:space="0" w:color="auto"/>
            <w:bottom w:val="none" w:sz="0" w:space="0" w:color="auto"/>
            <w:right w:val="none" w:sz="0" w:space="0" w:color="auto"/>
          </w:divBdr>
          <w:divsChild>
            <w:div w:id="1605116207">
              <w:marLeft w:val="0"/>
              <w:marRight w:val="0"/>
              <w:marTop w:val="0"/>
              <w:marBottom w:val="0"/>
              <w:divBdr>
                <w:top w:val="none" w:sz="0" w:space="0" w:color="auto"/>
                <w:left w:val="none" w:sz="0" w:space="0" w:color="auto"/>
                <w:bottom w:val="none" w:sz="0" w:space="0" w:color="auto"/>
                <w:right w:val="none" w:sz="0" w:space="0" w:color="auto"/>
              </w:divBdr>
            </w:div>
          </w:divsChild>
        </w:div>
        <w:div w:id="1558272727">
          <w:marLeft w:val="0"/>
          <w:marRight w:val="0"/>
          <w:marTop w:val="0"/>
          <w:marBottom w:val="0"/>
          <w:divBdr>
            <w:top w:val="none" w:sz="0" w:space="0" w:color="auto"/>
            <w:left w:val="none" w:sz="0" w:space="0" w:color="auto"/>
            <w:bottom w:val="none" w:sz="0" w:space="0" w:color="auto"/>
            <w:right w:val="none" w:sz="0" w:space="0" w:color="auto"/>
          </w:divBdr>
        </w:div>
        <w:div w:id="2119643031">
          <w:marLeft w:val="0"/>
          <w:marRight w:val="0"/>
          <w:marTop w:val="0"/>
          <w:marBottom w:val="0"/>
          <w:divBdr>
            <w:top w:val="none" w:sz="0" w:space="0" w:color="auto"/>
            <w:left w:val="none" w:sz="0" w:space="0" w:color="auto"/>
            <w:bottom w:val="none" w:sz="0" w:space="0" w:color="auto"/>
            <w:right w:val="none" w:sz="0" w:space="0" w:color="auto"/>
          </w:divBdr>
        </w:div>
        <w:div w:id="1483547630">
          <w:marLeft w:val="0"/>
          <w:marRight w:val="0"/>
          <w:marTop w:val="0"/>
          <w:marBottom w:val="0"/>
          <w:divBdr>
            <w:top w:val="none" w:sz="0" w:space="0" w:color="auto"/>
            <w:left w:val="none" w:sz="0" w:space="0" w:color="auto"/>
            <w:bottom w:val="none" w:sz="0" w:space="0" w:color="auto"/>
            <w:right w:val="none" w:sz="0" w:space="0" w:color="auto"/>
          </w:divBdr>
        </w:div>
      </w:divsChild>
    </w:div>
    <w:div w:id="433062094">
      <w:bodyDiv w:val="1"/>
      <w:marLeft w:val="0"/>
      <w:marRight w:val="0"/>
      <w:marTop w:val="0"/>
      <w:marBottom w:val="0"/>
      <w:divBdr>
        <w:top w:val="none" w:sz="0" w:space="0" w:color="auto"/>
        <w:left w:val="none" w:sz="0" w:space="0" w:color="auto"/>
        <w:bottom w:val="none" w:sz="0" w:space="0" w:color="auto"/>
        <w:right w:val="none" w:sz="0" w:space="0" w:color="auto"/>
      </w:divBdr>
    </w:div>
    <w:div w:id="1058554981">
      <w:bodyDiv w:val="1"/>
      <w:marLeft w:val="0"/>
      <w:marRight w:val="0"/>
      <w:marTop w:val="0"/>
      <w:marBottom w:val="0"/>
      <w:divBdr>
        <w:top w:val="none" w:sz="0" w:space="0" w:color="auto"/>
        <w:left w:val="none" w:sz="0" w:space="0" w:color="auto"/>
        <w:bottom w:val="none" w:sz="0" w:space="0" w:color="auto"/>
        <w:right w:val="none" w:sz="0" w:space="0" w:color="auto"/>
      </w:divBdr>
    </w:div>
    <w:div w:id="1096751168">
      <w:bodyDiv w:val="1"/>
      <w:marLeft w:val="0"/>
      <w:marRight w:val="0"/>
      <w:marTop w:val="0"/>
      <w:marBottom w:val="0"/>
      <w:divBdr>
        <w:top w:val="none" w:sz="0" w:space="0" w:color="auto"/>
        <w:left w:val="none" w:sz="0" w:space="0" w:color="auto"/>
        <w:bottom w:val="none" w:sz="0" w:space="0" w:color="auto"/>
        <w:right w:val="none" w:sz="0" w:space="0" w:color="auto"/>
      </w:divBdr>
    </w:div>
    <w:div w:id="1304699864">
      <w:bodyDiv w:val="1"/>
      <w:marLeft w:val="0"/>
      <w:marRight w:val="0"/>
      <w:marTop w:val="0"/>
      <w:marBottom w:val="0"/>
      <w:divBdr>
        <w:top w:val="none" w:sz="0" w:space="0" w:color="auto"/>
        <w:left w:val="none" w:sz="0" w:space="0" w:color="auto"/>
        <w:bottom w:val="none" w:sz="0" w:space="0" w:color="auto"/>
        <w:right w:val="none" w:sz="0" w:space="0" w:color="auto"/>
      </w:divBdr>
    </w:div>
    <w:div w:id="1479610348">
      <w:bodyDiv w:val="1"/>
      <w:marLeft w:val="0"/>
      <w:marRight w:val="0"/>
      <w:marTop w:val="0"/>
      <w:marBottom w:val="0"/>
      <w:divBdr>
        <w:top w:val="none" w:sz="0" w:space="0" w:color="auto"/>
        <w:left w:val="none" w:sz="0" w:space="0" w:color="auto"/>
        <w:bottom w:val="none" w:sz="0" w:space="0" w:color="auto"/>
        <w:right w:val="none" w:sz="0" w:space="0" w:color="auto"/>
      </w:divBdr>
      <w:divsChild>
        <w:div w:id="137264014">
          <w:marLeft w:val="0"/>
          <w:marRight w:val="0"/>
          <w:marTop w:val="0"/>
          <w:marBottom w:val="0"/>
          <w:divBdr>
            <w:top w:val="none" w:sz="0" w:space="0" w:color="auto"/>
            <w:left w:val="none" w:sz="0" w:space="0" w:color="auto"/>
            <w:bottom w:val="none" w:sz="0" w:space="0" w:color="auto"/>
            <w:right w:val="none" w:sz="0" w:space="0" w:color="auto"/>
          </w:divBdr>
          <w:divsChild>
            <w:div w:id="339889848">
              <w:marLeft w:val="0"/>
              <w:marRight w:val="0"/>
              <w:marTop w:val="0"/>
              <w:marBottom w:val="0"/>
              <w:divBdr>
                <w:top w:val="none" w:sz="0" w:space="0" w:color="auto"/>
                <w:left w:val="none" w:sz="0" w:space="0" w:color="auto"/>
                <w:bottom w:val="none" w:sz="0" w:space="0" w:color="auto"/>
                <w:right w:val="none" w:sz="0" w:space="0" w:color="auto"/>
              </w:divBdr>
            </w:div>
          </w:divsChild>
        </w:div>
        <w:div w:id="894662628">
          <w:marLeft w:val="0"/>
          <w:marRight w:val="0"/>
          <w:marTop w:val="0"/>
          <w:marBottom w:val="0"/>
          <w:divBdr>
            <w:top w:val="none" w:sz="0" w:space="0" w:color="auto"/>
            <w:left w:val="none" w:sz="0" w:space="0" w:color="auto"/>
            <w:bottom w:val="none" w:sz="0" w:space="0" w:color="auto"/>
            <w:right w:val="none" w:sz="0" w:space="0" w:color="auto"/>
          </w:divBdr>
        </w:div>
        <w:div w:id="226503020">
          <w:marLeft w:val="0"/>
          <w:marRight w:val="0"/>
          <w:marTop w:val="0"/>
          <w:marBottom w:val="0"/>
          <w:divBdr>
            <w:top w:val="none" w:sz="0" w:space="0" w:color="auto"/>
            <w:left w:val="none" w:sz="0" w:space="0" w:color="auto"/>
            <w:bottom w:val="none" w:sz="0" w:space="0" w:color="auto"/>
            <w:right w:val="none" w:sz="0" w:space="0" w:color="auto"/>
          </w:divBdr>
        </w:div>
        <w:div w:id="985547166">
          <w:marLeft w:val="0"/>
          <w:marRight w:val="0"/>
          <w:marTop w:val="0"/>
          <w:marBottom w:val="0"/>
          <w:divBdr>
            <w:top w:val="none" w:sz="0" w:space="0" w:color="auto"/>
            <w:left w:val="none" w:sz="0" w:space="0" w:color="auto"/>
            <w:bottom w:val="none" w:sz="0" w:space="0" w:color="auto"/>
            <w:right w:val="none" w:sz="0" w:space="0" w:color="auto"/>
          </w:divBdr>
        </w:div>
      </w:divsChild>
    </w:div>
    <w:div w:id="1543328402">
      <w:bodyDiv w:val="1"/>
      <w:marLeft w:val="0"/>
      <w:marRight w:val="0"/>
      <w:marTop w:val="0"/>
      <w:marBottom w:val="0"/>
      <w:divBdr>
        <w:top w:val="none" w:sz="0" w:space="0" w:color="auto"/>
        <w:left w:val="none" w:sz="0" w:space="0" w:color="auto"/>
        <w:bottom w:val="none" w:sz="0" w:space="0" w:color="auto"/>
        <w:right w:val="none" w:sz="0" w:space="0" w:color="auto"/>
      </w:divBdr>
    </w:div>
    <w:div w:id="2073769426">
      <w:bodyDiv w:val="1"/>
      <w:marLeft w:val="0"/>
      <w:marRight w:val="0"/>
      <w:marTop w:val="0"/>
      <w:marBottom w:val="0"/>
      <w:divBdr>
        <w:top w:val="none" w:sz="0" w:space="0" w:color="auto"/>
        <w:left w:val="none" w:sz="0" w:space="0" w:color="auto"/>
        <w:bottom w:val="none" w:sz="0" w:space="0" w:color="auto"/>
        <w:right w:val="none" w:sz="0" w:space="0" w:color="auto"/>
      </w:divBdr>
    </w:div>
    <w:div w:id="21185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1857</Words>
  <Characters>10214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IDT</dc:creator>
  <cp:keywords/>
  <dc:description/>
  <cp:lastModifiedBy>ALQ</cp:lastModifiedBy>
  <cp:revision>4</cp:revision>
  <cp:lastPrinted>2019-11-26T16:32:00Z</cp:lastPrinted>
  <dcterms:created xsi:type="dcterms:W3CDTF">2019-11-26T16:42:00Z</dcterms:created>
  <dcterms:modified xsi:type="dcterms:W3CDTF">2019-11-26T16:46:00Z</dcterms:modified>
</cp:coreProperties>
</file>